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BF" w:rsidRPr="00840DBF" w:rsidRDefault="00840DBF" w:rsidP="00840DBF">
      <w:pPr>
        <w:shd w:val="clear" w:color="auto" w:fill="FFFFFF"/>
        <w:tabs>
          <w:tab w:val="left" w:pos="2160"/>
          <w:tab w:val="left" w:pos="6480"/>
        </w:tabs>
        <w:spacing w:after="0" w:line="240" w:lineRule="auto"/>
        <w:ind w:right="-86"/>
        <w:rPr>
          <w:rFonts w:eastAsia="Times New Roman" w:cs="Times New Roman"/>
          <w:sz w:val="21"/>
          <w:szCs w:val="21"/>
        </w:rPr>
      </w:pPr>
      <w:bookmarkStart w:id="0" w:name="_GoBack"/>
      <w:bookmarkEnd w:id="0"/>
      <w:r w:rsidRPr="00840DBF">
        <w:rPr>
          <w:rFonts w:eastAsia="Times New Roman" w:cs="Times New Roman"/>
          <w:sz w:val="21"/>
          <w:szCs w:val="21"/>
        </w:rPr>
        <w:tab/>
        <w:t xml:space="preserve"> </w:t>
      </w:r>
    </w:p>
    <w:p w:rsidR="00840DBF" w:rsidRPr="0076036C" w:rsidRDefault="00840DBF" w:rsidP="00840DBF">
      <w:pPr>
        <w:shd w:val="clear" w:color="auto" w:fill="FFFFFF"/>
        <w:tabs>
          <w:tab w:val="left" w:pos="2160"/>
          <w:tab w:val="left" w:pos="6480"/>
        </w:tabs>
        <w:spacing w:after="0" w:line="240" w:lineRule="auto"/>
        <w:ind w:right="-86"/>
        <w:rPr>
          <w:rFonts w:eastAsia="Times New Roman" w:cs="Times New Roman"/>
          <w:i/>
          <w:sz w:val="21"/>
          <w:szCs w:val="21"/>
        </w:rPr>
      </w:pPr>
      <w:r w:rsidRPr="00840DBF">
        <w:rPr>
          <w:rFonts w:eastAsia="Times New Roman" w:cs="Times New Roman"/>
          <w:i/>
          <w:sz w:val="21"/>
          <w:szCs w:val="21"/>
        </w:rPr>
        <w:t xml:space="preserve">Note: This list is for use by employers with </w:t>
      </w:r>
      <w:r w:rsidR="00B0214C">
        <w:rPr>
          <w:rFonts w:eastAsia="Times New Roman" w:cs="Times New Roman"/>
          <w:b/>
          <w:i/>
          <w:sz w:val="21"/>
          <w:szCs w:val="21"/>
        </w:rPr>
        <w:t>fewer</w:t>
      </w:r>
      <w:r w:rsidR="002A7C04">
        <w:rPr>
          <w:rFonts w:eastAsia="Times New Roman" w:cs="Times New Roman"/>
          <w:b/>
          <w:i/>
          <w:sz w:val="21"/>
          <w:szCs w:val="21"/>
        </w:rPr>
        <w:t xml:space="preserve"> than 50 </w:t>
      </w:r>
      <w:r w:rsidRPr="00840DBF">
        <w:rPr>
          <w:rFonts w:eastAsia="Times New Roman" w:cs="Times New Roman"/>
          <w:b/>
          <w:i/>
          <w:sz w:val="21"/>
          <w:szCs w:val="21"/>
        </w:rPr>
        <w:t>employees</w:t>
      </w:r>
      <w:r w:rsidR="0076036C">
        <w:rPr>
          <w:rFonts w:eastAsia="Times New Roman" w:cs="Times New Roman"/>
          <w:i/>
          <w:sz w:val="21"/>
          <w:szCs w:val="21"/>
        </w:rPr>
        <w:t>.</w:t>
      </w:r>
    </w:p>
    <w:p w:rsidR="00840DBF" w:rsidRPr="00840DBF" w:rsidRDefault="00840DBF" w:rsidP="00840DBF">
      <w:pPr>
        <w:shd w:val="clear" w:color="auto" w:fill="FFFFFF"/>
        <w:spacing w:after="0" w:line="372" w:lineRule="auto"/>
        <w:ind w:right="-86"/>
        <w:rPr>
          <w:rFonts w:eastAsia="Times New Roman" w:cs="Times New Roman"/>
          <w:b/>
          <w:sz w:val="12"/>
          <w:szCs w:val="12"/>
        </w:rPr>
      </w:pPr>
    </w:p>
    <w:p w:rsidR="0085483E" w:rsidRPr="0085483E" w:rsidRDefault="00840DBF" w:rsidP="00840DBF">
      <w:pPr>
        <w:shd w:val="clear" w:color="auto" w:fill="FFFFFF"/>
        <w:spacing w:after="0" w:line="372" w:lineRule="auto"/>
        <w:ind w:right="-86"/>
        <w:rPr>
          <w:rFonts w:eastAsia="Times New Roman" w:cs="Times New Roman"/>
          <w:sz w:val="21"/>
          <w:szCs w:val="21"/>
        </w:rPr>
      </w:pPr>
      <w:r w:rsidRPr="00840DBF">
        <w:rPr>
          <w:rFonts w:eastAsia="Times New Roman" w:cs="Times New Roman"/>
          <w:b/>
          <w:sz w:val="21"/>
          <w:szCs w:val="21"/>
        </w:rPr>
        <w:t>Plan Year:</w:t>
      </w:r>
      <w:r w:rsidRPr="00840DBF">
        <w:rPr>
          <w:rFonts w:eastAsia="Times New Roman" w:cs="Times New Roman"/>
          <w:sz w:val="21"/>
          <w:szCs w:val="21"/>
        </w:rPr>
        <w:t xml:space="preserve"> </w:t>
      </w:r>
      <w:r w:rsidRPr="00840DBF">
        <w:rPr>
          <w:rFonts w:eastAsia="Times New Roman" w:cs="Times New Roman"/>
          <w:sz w:val="21"/>
          <w:szCs w:val="21"/>
        </w:rPr>
        <w:tab/>
      </w:r>
      <w:r w:rsidRPr="00840DBF">
        <w:rPr>
          <w:rFonts w:eastAsia="Times New Roman" w:cs="Times New Roman"/>
          <w:sz w:val="21"/>
          <w:szCs w:val="21"/>
        </w:rPr>
        <w:tab/>
      </w:r>
    </w:p>
    <w:tbl>
      <w:tblPr>
        <w:tblStyle w:val="TableGrid"/>
        <w:tblW w:w="13860" w:type="dxa"/>
        <w:tblInd w:w="-162"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440"/>
        <w:gridCol w:w="5850"/>
        <w:gridCol w:w="5310"/>
      </w:tblGrid>
      <w:tr w:rsidR="00840DBF" w:rsidRPr="00840DBF" w:rsidTr="007E6907">
        <w:tc>
          <w:tcPr>
            <w:tcW w:w="13860" w:type="dxa"/>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p w:rsidR="00840DBF" w:rsidRPr="00840DBF" w:rsidRDefault="006373A4" w:rsidP="00997B6D">
            <w:pPr>
              <w:spacing w:before="80" w:after="80"/>
              <w:jc w:val="center"/>
              <w:rPr>
                <w:b/>
                <w:sz w:val="32"/>
                <w:szCs w:val="32"/>
              </w:rPr>
            </w:pPr>
            <w:bookmarkStart w:id="1" w:name="FullyInsured"/>
            <w:bookmarkEnd w:id="1"/>
            <w:r>
              <w:rPr>
                <w:b/>
                <w:color w:val="FFFFFF" w:themeColor="background1"/>
                <w:sz w:val="32"/>
                <w:szCs w:val="32"/>
              </w:rPr>
              <w:t>BENEFITS REQUIREMENTS</w:t>
            </w:r>
          </w:p>
        </w:tc>
      </w:tr>
      <w:tr w:rsidR="007E6907" w:rsidRPr="00992DDB" w:rsidTr="007E6907">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4BACC6" w:themeColor="accent5"/>
            </w:tcBorders>
            <w:shd w:val="clear" w:color="auto" w:fill="EAF1DD" w:themeFill="accent3"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Completed</w:t>
            </w:r>
          </w:p>
        </w:tc>
        <w:tc>
          <w:tcPr>
            <w:tcW w:w="1440" w:type="dxa"/>
            <w:tcBorders>
              <w:top w:val="single" w:sz="4" w:space="0" w:color="4BACC6" w:themeColor="accent5"/>
            </w:tcBorders>
            <w:shd w:val="clear" w:color="auto" w:fill="F2DBDB" w:themeFill="accent2"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To Be Completed</w:t>
            </w:r>
          </w:p>
        </w:tc>
        <w:tc>
          <w:tcPr>
            <w:tcW w:w="5850" w:type="dxa"/>
            <w:tcBorders>
              <w:top w:val="single" w:sz="4" w:space="0" w:color="4BACC6" w:themeColor="accent5"/>
            </w:tcBorders>
            <w:shd w:val="clear" w:color="auto" w:fill="DAEEF3" w:themeFill="accent5"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Employer Action Items</w:t>
            </w:r>
          </w:p>
        </w:tc>
        <w:tc>
          <w:tcPr>
            <w:tcW w:w="5310" w:type="dxa"/>
            <w:tcBorders>
              <w:top w:val="single" w:sz="4" w:space="0" w:color="4BACC6" w:themeColor="accent5"/>
            </w:tcBorders>
            <w:shd w:val="clear" w:color="auto" w:fill="DAEEF3" w:themeFill="accent5"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Deadlines/Tips</w:t>
            </w:r>
          </w:p>
        </w:tc>
      </w:tr>
      <w:tr w:rsidR="00840DBF" w:rsidRPr="00840DBF" w:rsidTr="00E05D34">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840DBF">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840DBF">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604179">
            <w:pPr>
              <w:spacing w:before="60" w:after="60" w:line="252" w:lineRule="auto"/>
              <w:ind w:right="-115"/>
              <w:rPr>
                <w:rFonts w:cstheme="minorHAnsi"/>
                <w:color w:val="000000" w:themeColor="text1"/>
                <w:sz w:val="21"/>
                <w:szCs w:val="21"/>
              </w:rPr>
            </w:pPr>
            <w:r w:rsidRPr="00840DBF">
              <w:rPr>
                <w:rFonts w:cstheme="minorHAnsi"/>
                <w:b/>
                <w:color w:val="4BACC6" w:themeColor="accent5"/>
                <w:sz w:val="21"/>
                <w:szCs w:val="21"/>
              </w:rPr>
              <w:t>Employer Payment Plans</w:t>
            </w:r>
            <w:r w:rsidR="00B66CDA">
              <w:rPr>
                <w:rFonts w:cstheme="minorHAnsi"/>
                <w:b/>
                <w:color w:val="4BACC6" w:themeColor="accent5"/>
                <w:sz w:val="21"/>
                <w:szCs w:val="21"/>
              </w:rPr>
              <w:t xml:space="preserve"> </w:t>
            </w:r>
            <w:r w:rsidR="00720D98">
              <w:rPr>
                <w:rFonts w:cstheme="minorHAnsi"/>
                <w:b/>
                <w:color w:val="4BACC6" w:themeColor="accent5"/>
                <w:sz w:val="21"/>
                <w:szCs w:val="21"/>
              </w:rPr>
              <w:t>Prohibit</w:t>
            </w:r>
            <w:r w:rsidR="00B66CDA">
              <w:rPr>
                <w:rFonts w:cstheme="minorHAnsi"/>
                <w:b/>
                <w:color w:val="4BACC6" w:themeColor="accent5"/>
                <w:sz w:val="21"/>
                <w:szCs w:val="21"/>
              </w:rPr>
              <w:t>ed</w:t>
            </w:r>
            <w:r w:rsidRPr="00840DBF">
              <w:rPr>
                <w:rFonts w:cstheme="minorHAnsi"/>
                <w:b/>
                <w:color w:val="4BACC6" w:themeColor="accent5"/>
                <w:sz w:val="21"/>
                <w:szCs w:val="21"/>
              </w:rPr>
              <w:t>.</w:t>
            </w:r>
            <w:r w:rsidRPr="00840DBF">
              <w:rPr>
                <w:rFonts w:cstheme="minorHAnsi"/>
                <w:color w:val="000000" w:themeColor="text1"/>
                <w:sz w:val="21"/>
                <w:szCs w:val="21"/>
              </w:rPr>
              <w:t xml:space="preserve"> Ensure that </w:t>
            </w:r>
            <w:r w:rsidRPr="00840DBF">
              <w:rPr>
                <w:rFonts w:cstheme="minorHAnsi"/>
                <w:sz w:val="21"/>
                <w:szCs w:val="21"/>
              </w:rPr>
              <w:t xml:space="preserve">an </w:t>
            </w:r>
            <w:r w:rsidRPr="00840DBF">
              <w:rPr>
                <w:b/>
                <w:sz w:val="21"/>
                <w:szCs w:val="21"/>
              </w:rPr>
              <w:t>employer payment plan</w:t>
            </w:r>
            <w:r w:rsidR="00EE25DB">
              <w:rPr>
                <w:b/>
                <w:sz w:val="21"/>
                <w:szCs w:val="21"/>
              </w:rPr>
              <w:t xml:space="preserve"> </w:t>
            </w:r>
            <w:r w:rsidRPr="00840DBF">
              <w:rPr>
                <w:b/>
                <w:sz w:val="21"/>
                <w:szCs w:val="21"/>
              </w:rPr>
              <w:t>is not in place</w:t>
            </w:r>
            <w:r w:rsidRPr="00840DBF">
              <w:rPr>
                <w:sz w:val="21"/>
                <w:szCs w:val="21"/>
              </w:rPr>
              <w:t xml:space="preserve"> (</w:t>
            </w:r>
            <w:r w:rsidR="00720D98">
              <w:rPr>
                <w:sz w:val="21"/>
                <w:szCs w:val="21"/>
              </w:rPr>
              <w:t xml:space="preserve">an </w:t>
            </w:r>
            <w:r w:rsidRPr="00840DBF">
              <w:rPr>
                <w:sz w:val="21"/>
                <w:szCs w:val="21"/>
              </w:rPr>
              <w:t xml:space="preserve">arrangement under which an employer reimburses an employee for some or all of the premium expenses incurred for an individual health insurance policy, or uses its funds to directly pay the </w:t>
            </w:r>
            <w:r w:rsidR="00D85488">
              <w:rPr>
                <w:sz w:val="21"/>
                <w:szCs w:val="21"/>
              </w:rPr>
              <w:t>premium for an individual policy</w:t>
            </w:r>
            <w:r w:rsidRPr="00840DBF">
              <w:rPr>
                <w:sz w:val="21"/>
                <w:szCs w:val="21"/>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73A4" w:rsidRPr="00EE4B78" w:rsidRDefault="00840DBF" w:rsidP="00604179">
            <w:pPr>
              <w:spacing w:before="60" w:after="60" w:line="252" w:lineRule="auto"/>
              <w:rPr>
                <w:color w:val="215868" w:themeColor="accent5" w:themeShade="80"/>
                <w:sz w:val="19"/>
                <w:szCs w:val="19"/>
              </w:rPr>
            </w:pPr>
            <w:r w:rsidRPr="00840DBF">
              <w:rPr>
                <w:color w:val="215868" w:themeColor="accent5" w:themeShade="80"/>
                <w:sz w:val="19"/>
                <w:szCs w:val="19"/>
              </w:rPr>
              <w:t xml:space="preserve">Effective as of 2014. </w:t>
            </w:r>
            <w:r w:rsidR="006B5051" w:rsidRPr="006B5051">
              <w:rPr>
                <w:rFonts w:cs="Arial"/>
                <w:color w:val="215868" w:themeColor="accent5" w:themeShade="80"/>
                <w:sz w:val="19"/>
                <w:szCs w:val="19"/>
              </w:rPr>
              <w:t>Employers can generally increase an employee's compensation</w:t>
            </w:r>
            <w:r w:rsidR="00E838B3">
              <w:rPr>
                <w:rFonts w:cs="Arial"/>
                <w:color w:val="215868" w:themeColor="accent5" w:themeShade="80"/>
                <w:sz w:val="19"/>
                <w:szCs w:val="19"/>
              </w:rPr>
              <w:t xml:space="preserve"> without violating the law</w:t>
            </w:r>
            <w:r w:rsidR="006B5051" w:rsidRPr="006B5051">
              <w:rPr>
                <w:rFonts w:cs="Arial"/>
                <w:color w:val="215868" w:themeColor="accent5" w:themeShade="80"/>
                <w:sz w:val="19"/>
                <w:szCs w:val="19"/>
              </w:rPr>
              <w:t xml:space="preserve">, </w:t>
            </w:r>
            <w:r w:rsidR="006B5051" w:rsidRPr="006B5051">
              <w:rPr>
                <w:rFonts w:cs="Arial"/>
                <w:b/>
                <w:bCs/>
                <w:color w:val="215868" w:themeColor="accent5" w:themeShade="80"/>
                <w:sz w:val="19"/>
                <w:szCs w:val="19"/>
              </w:rPr>
              <w:t xml:space="preserve">so long as </w:t>
            </w:r>
            <w:r w:rsidR="006B5051" w:rsidRPr="006B5051">
              <w:rPr>
                <w:rFonts w:cs="Arial"/>
                <w:bCs/>
                <w:color w:val="215868" w:themeColor="accent5" w:themeShade="80"/>
                <w:sz w:val="19"/>
                <w:szCs w:val="19"/>
              </w:rPr>
              <w:t>the payment of additional compensation is not conditioned on the purchase of health coverage and the employer does not otherwise endorse a particular policy, form, or issuer.</w:t>
            </w:r>
          </w:p>
        </w:tc>
      </w:tr>
      <w:tr w:rsidR="00840DBF" w:rsidRPr="00840DBF" w:rsidTr="00E05D34">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840DBF">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840DBF">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604179">
            <w:pPr>
              <w:spacing w:before="60" w:after="60" w:line="252" w:lineRule="auto"/>
              <w:rPr>
                <w:rFonts w:eastAsia="Times New Roman" w:cstheme="minorHAnsi"/>
                <w:sz w:val="21"/>
                <w:szCs w:val="21"/>
              </w:rPr>
            </w:pPr>
            <w:r w:rsidRPr="00840DBF">
              <w:rPr>
                <w:rFonts w:eastAsia="Times New Roman" w:cstheme="minorHAnsi"/>
                <w:b/>
                <w:color w:val="4BACC6" w:themeColor="accent5"/>
                <w:sz w:val="21"/>
                <w:szCs w:val="21"/>
              </w:rPr>
              <w:t>90-Day Waiting Period Limit.</w:t>
            </w:r>
            <w:r w:rsidRPr="00840DBF">
              <w:rPr>
                <w:rFonts w:eastAsia="Times New Roman" w:cstheme="minorHAnsi"/>
                <w:color w:val="4BACC6" w:themeColor="accent5"/>
                <w:sz w:val="21"/>
                <w:szCs w:val="21"/>
              </w:rPr>
              <w:t xml:space="preserve"> </w:t>
            </w:r>
            <w:r w:rsidRPr="00840DBF">
              <w:rPr>
                <w:rFonts w:eastAsia="Times New Roman" w:cstheme="minorHAnsi"/>
                <w:color w:val="000000" w:themeColor="text1"/>
                <w:sz w:val="21"/>
                <w:szCs w:val="21"/>
              </w:rPr>
              <w:t xml:space="preserve">Ensure that any </w:t>
            </w:r>
            <w:hyperlink r:id="rId9" w:history="1">
              <w:r w:rsidRPr="009B0A29">
                <w:rPr>
                  <w:rFonts w:eastAsia="Times New Roman" w:cstheme="minorHAnsi"/>
                  <w:color w:val="00B0F0"/>
                  <w:sz w:val="21"/>
                  <w:szCs w:val="21"/>
                  <w:u w:val="single"/>
                </w:rPr>
                <w:t>waiting period</w:t>
              </w:r>
            </w:hyperlink>
            <w:r w:rsidRPr="00840DBF">
              <w:rPr>
                <w:rFonts w:eastAsia="Times New Roman" w:cstheme="minorHAnsi"/>
                <w:color w:val="000000" w:themeColor="text1"/>
                <w:sz w:val="21"/>
                <w:szCs w:val="21"/>
              </w:rPr>
              <w:t>—the time that must pass before coverage can become effective f</w:t>
            </w:r>
            <w:r w:rsidR="00EA431F">
              <w:rPr>
                <w:rFonts w:eastAsia="Times New Roman" w:cstheme="minorHAnsi"/>
                <w:color w:val="000000" w:themeColor="text1"/>
                <w:sz w:val="21"/>
                <w:szCs w:val="21"/>
              </w:rPr>
              <w:t>or an employee or dependent who</w:t>
            </w:r>
            <w:r w:rsidRPr="00840DBF">
              <w:rPr>
                <w:rFonts w:eastAsia="Times New Roman" w:cstheme="minorHAnsi"/>
                <w:color w:val="000000" w:themeColor="text1"/>
                <w:sz w:val="21"/>
                <w:szCs w:val="21"/>
              </w:rPr>
              <w:t xml:space="preserve"> is otherwise eligible to enroll in the plan—</w:t>
            </w:r>
            <w:r w:rsidRPr="00840DBF">
              <w:rPr>
                <w:rFonts w:eastAsia="Times New Roman" w:cstheme="minorHAnsi"/>
                <w:b/>
                <w:color w:val="000000" w:themeColor="text1"/>
                <w:sz w:val="21"/>
                <w:szCs w:val="21"/>
              </w:rPr>
              <w:t>does not exceed 90 days</w:t>
            </w:r>
            <w:r w:rsidRPr="00840DBF">
              <w:rPr>
                <w:rFonts w:eastAsia="Times New Roman" w:cstheme="minorHAnsi"/>
                <w:color w:val="000000" w:themeColor="text1"/>
                <w:sz w:val="21"/>
                <w:szCs w:val="21"/>
              </w:rPr>
              <w:t xml:space="preserve">. </w:t>
            </w:r>
            <w:r w:rsidRPr="00840DBF">
              <w:rPr>
                <w:rFonts w:eastAsia="Times New Roman" w:cstheme="minorHAnsi"/>
                <w:sz w:val="21"/>
                <w:szCs w:val="21"/>
              </w:rPr>
              <w:t>(Other conditions for eligibility that are not based solely on the lapse of a time period are generally permissible.)</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604179">
            <w:pPr>
              <w:spacing w:before="60" w:after="60" w:line="252" w:lineRule="auto"/>
              <w:rPr>
                <w:rFonts w:eastAsia="Times New Roman" w:cstheme="minorHAnsi"/>
                <w:color w:val="215868" w:themeColor="accent5" w:themeShade="80"/>
                <w:sz w:val="19"/>
                <w:szCs w:val="19"/>
              </w:rPr>
            </w:pPr>
            <w:r w:rsidRPr="00840DBF">
              <w:rPr>
                <w:rFonts w:eastAsia="Times New Roman" w:cstheme="minorHAnsi"/>
                <w:color w:val="215868" w:themeColor="accent5" w:themeShade="80"/>
                <w:sz w:val="19"/>
                <w:szCs w:val="19"/>
              </w:rPr>
              <w:t>Effective as of 2014. If th</w:t>
            </w:r>
            <w:r w:rsidR="00EA431F">
              <w:rPr>
                <w:rFonts w:eastAsia="Times New Roman" w:cstheme="minorHAnsi"/>
                <w:color w:val="215868" w:themeColor="accent5" w:themeShade="80"/>
                <w:sz w:val="19"/>
                <w:szCs w:val="19"/>
              </w:rPr>
              <w:t xml:space="preserve">e plan requires completion of an </w:t>
            </w:r>
            <w:r w:rsidRPr="00840DBF">
              <w:rPr>
                <w:rFonts w:eastAsia="Times New Roman" w:cstheme="minorHAnsi"/>
                <w:color w:val="215868" w:themeColor="accent5" w:themeShade="80"/>
                <w:sz w:val="19"/>
                <w:szCs w:val="19"/>
              </w:rPr>
              <w:t xml:space="preserve">employment-based orientation period as a condition for eligibility, ensure the orientation period </w:t>
            </w:r>
            <w:r w:rsidRPr="00840DBF">
              <w:rPr>
                <w:rFonts w:eastAsia="Times New Roman" w:cstheme="minorHAnsi"/>
                <w:b/>
                <w:color w:val="215868" w:themeColor="accent5" w:themeShade="80"/>
                <w:sz w:val="19"/>
                <w:szCs w:val="19"/>
              </w:rPr>
              <w:t>does not exceed one month</w:t>
            </w:r>
            <w:r w:rsidRPr="00840DBF">
              <w:rPr>
                <w:rFonts w:eastAsia="Times New Roman" w:cstheme="minorHAnsi"/>
                <w:color w:val="215868" w:themeColor="accent5" w:themeShade="80"/>
                <w:sz w:val="19"/>
                <w:szCs w:val="19"/>
              </w:rPr>
              <w:t xml:space="preserve"> and the maximum 90-day waiting period begins on the first day after the orientation period. </w:t>
            </w:r>
          </w:p>
        </w:tc>
      </w:tr>
      <w:tr w:rsidR="00840DBF" w:rsidRPr="00840DBF" w:rsidTr="000B716A">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840DBF">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840DBF">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604179">
            <w:pPr>
              <w:spacing w:before="60" w:after="60" w:line="252" w:lineRule="auto"/>
              <w:ind w:right="-115"/>
              <w:rPr>
                <w:rFonts w:cstheme="minorHAnsi"/>
                <w:color w:val="000000" w:themeColor="text1"/>
                <w:sz w:val="21"/>
                <w:szCs w:val="21"/>
              </w:rPr>
            </w:pPr>
            <w:r w:rsidRPr="00840DBF">
              <w:rPr>
                <w:rFonts w:eastAsia="Times New Roman" w:cstheme="minorHAnsi"/>
                <w:b/>
                <w:color w:val="4BACC6" w:themeColor="accent5"/>
                <w:sz w:val="21"/>
                <w:szCs w:val="21"/>
              </w:rPr>
              <w:t>Annual Dollar Limit</w:t>
            </w:r>
            <w:r w:rsidR="00E140FE">
              <w:rPr>
                <w:rFonts w:eastAsia="Times New Roman" w:cstheme="minorHAnsi"/>
                <w:b/>
                <w:color w:val="4BACC6" w:themeColor="accent5"/>
                <w:sz w:val="21"/>
                <w:szCs w:val="21"/>
              </w:rPr>
              <w:t>s</w:t>
            </w:r>
            <w:r w:rsidRPr="00840DBF">
              <w:rPr>
                <w:rFonts w:eastAsia="Times New Roman" w:cstheme="minorHAnsi"/>
                <w:b/>
                <w:color w:val="4BACC6" w:themeColor="accent5"/>
                <w:sz w:val="21"/>
                <w:szCs w:val="21"/>
              </w:rPr>
              <w:t xml:space="preserve"> Prohibit</w:t>
            </w:r>
            <w:r w:rsidR="00E140FE">
              <w:rPr>
                <w:rFonts w:eastAsia="Times New Roman" w:cstheme="minorHAnsi"/>
                <w:b/>
                <w:color w:val="4BACC6" w:themeColor="accent5"/>
                <w:sz w:val="21"/>
                <w:szCs w:val="21"/>
              </w:rPr>
              <w:t>ed</w:t>
            </w:r>
            <w:r w:rsidRPr="00840DBF">
              <w:rPr>
                <w:rFonts w:eastAsia="Times New Roman" w:cstheme="minorHAnsi"/>
                <w:b/>
                <w:color w:val="4BACC6" w:themeColor="accent5"/>
                <w:sz w:val="21"/>
                <w:szCs w:val="21"/>
              </w:rPr>
              <w:t>.</w:t>
            </w:r>
            <w:r w:rsidRPr="00840DBF">
              <w:rPr>
                <w:rFonts w:eastAsia="Times New Roman" w:cstheme="minorHAnsi"/>
                <w:color w:val="000000" w:themeColor="text1"/>
                <w:sz w:val="21"/>
                <w:szCs w:val="21"/>
              </w:rPr>
              <w:t xml:space="preserve"> Confirm that </w:t>
            </w:r>
            <w:r w:rsidRPr="00840DBF">
              <w:rPr>
                <w:rFonts w:eastAsia="Times New Roman" w:cstheme="minorHAnsi"/>
                <w:sz w:val="21"/>
                <w:szCs w:val="21"/>
              </w:rPr>
              <w:t xml:space="preserve">no annual dollar limits </w:t>
            </w:r>
            <w:r w:rsidRPr="00840DBF">
              <w:rPr>
                <w:rFonts w:eastAsia="Times New Roman" w:cstheme="minorHAnsi"/>
                <w:color w:val="000000" w:themeColor="text1"/>
                <w:sz w:val="21"/>
                <w:szCs w:val="21"/>
              </w:rPr>
              <w:t>apply to coverage of "</w:t>
            </w:r>
            <w:hyperlink r:id="rId10" w:history="1">
              <w:r w:rsidRPr="009B0A29">
                <w:rPr>
                  <w:rFonts w:eastAsia="Times New Roman" w:cstheme="minorHAnsi"/>
                  <w:color w:val="00B0F0"/>
                  <w:sz w:val="21"/>
                  <w:szCs w:val="21"/>
                  <w:u w:val="single"/>
                </w:rPr>
                <w:t>essential health benefits</w:t>
              </w:r>
            </w:hyperlink>
            <w:r w:rsidRPr="00840DBF">
              <w:rPr>
                <w:rFonts w:eastAsia="Times New Roman" w:cstheme="minorHAnsi"/>
                <w:color w:val="000000" w:themeColor="text1"/>
                <w:sz w:val="21"/>
                <w:szCs w:val="21"/>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604179">
            <w:pPr>
              <w:spacing w:before="60" w:after="60"/>
              <w:rPr>
                <w:sz w:val="19"/>
                <w:szCs w:val="19"/>
              </w:rPr>
            </w:pPr>
            <w:r w:rsidRPr="00840DBF">
              <w:rPr>
                <w:color w:val="215868" w:themeColor="accent5" w:themeShade="80"/>
                <w:sz w:val="19"/>
                <w:szCs w:val="19"/>
              </w:rPr>
              <w:t xml:space="preserve">Effective as of 2014. </w:t>
            </w:r>
            <w:r w:rsidRPr="00840DBF">
              <w:rPr>
                <w:rFonts w:eastAsia="Times New Roman" w:cstheme="minorHAnsi"/>
                <w:color w:val="215868" w:themeColor="accent5" w:themeShade="80"/>
                <w:sz w:val="19"/>
                <w:szCs w:val="19"/>
              </w:rPr>
              <w:t>If the plan limits the number of visits to health providers or days of treatment, verify that the visit or day limit does not amount to a dollar limit.</w:t>
            </w:r>
          </w:p>
        </w:tc>
      </w:tr>
      <w:tr w:rsidR="00840DBF" w:rsidRPr="00840DBF" w:rsidTr="000B716A">
        <w:trPr>
          <w:trHeight w:val="341"/>
        </w:trPr>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A61436">
            <w:pPr>
              <w:spacing w:beforeLines="80" w:before="192" w:afterLines="80" w:after="192"/>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A61436">
            <w:pPr>
              <w:spacing w:beforeLines="80" w:before="192" w:afterLines="80" w:after="192"/>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Default="00840DBF" w:rsidP="00A61436">
            <w:pPr>
              <w:spacing w:beforeLines="80" w:before="192" w:afterLines="80" w:after="192" w:line="252" w:lineRule="auto"/>
              <w:ind w:right="-115"/>
              <w:rPr>
                <w:rFonts w:cstheme="minorHAnsi"/>
                <w:color w:val="000000" w:themeColor="text1"/>
                <w:sz w:val="21"/>
                <w:szCs w:val="21"/>
              </w:rPr>
            </w:pPr>
            <w:r w:rsidRPr="00840DBF">
              <w:rPr>
                <w:rFonts w:cstheme="minorHAnsi"/>
                <w:b/>
                <w:color w:val="4BACC6" w:themeColor="accent5"/>
                <w:sz w:val="21"/>
                <w:szCs w:val="21"/>
              </w:rPr>
              <w:t>No Preexisting Condition Exclusions.</w:t>
            </w:r>
            <w:r w:rsidRPr="00840DBF">
              <w:rPr>
                <w:rFonts w:cstheme="minorHAnsi"/>
                <w:color w:val="4BACC6" w:themeColor="accent5"/>
                <w:sz w:val="21"/>
                <w:szCs w:val="21"/>
              </w:rPr>
              <w:t xml:space="preserve"> </w:t>
            </w:r>
            <w:r w:rsidRPr="00840DBF">
              <w:rPr>
                <w:rFonts w:cstheme="minorHAnsi"/>
                <w:color w:val="000000" w:themeColor="text1"/>
                <w:sz w:val="21"/>
                <w:szCs w:val="21"/>
              </w:rPr>
              <w:t xml:space="preserve">Verify that </w:t>
            </w:r>
            <w:r w:rsidR="00F4416A">
              <w:rPr>
                <w:rFonts w:cstheme="minorHAnsi"/>
                <w:color w:val="000000" w:themeColor="text1"/>
                <w:sz w:val="21"/>
                <w:szCs w:val="21"/>
              </w:rPr>
              <w:t xml:space="preserve">no </w:t>
            </w:r>
            <w:r w:rsidRPr="00840DBF">
              <w:rPr>
                <w:rFonts w:cstheme="minorHAnsi"/>
                <w:sz w:val="21"/>
                <w:szCs w:val="21"/>
              </w:rPr>
              <w:t xml:space="preserve">preexisting condition exclusions </w:t>
            </w:r>
            <w:r w:rsidR="00F4416A">
              <w:rPr>
                <w:rFonts w:cstheme="minorHAnsi"/>
                <w:color w:val="000000" w:themeColor="text1"/>
                <w:sz w:val="21"/>
                <w:szCs w:val="21"/>
              </w:rPr>
              <w:t xml:space="preserve">are imposed on </w:t>
            </w:r>
            <w:r w:rsidRPr="00840DBF">
              <w:rPr>
                <w:rFonts w:cstheme="minorHAnsi"/>
                <w:color w:val="000000" w:themeColor="text1"/>
                <w:sz w:val="21"/>
                <w:szCs w:val="21"/>
              </w:rPr>
              <w:t>a</w:t>
            </w:r>
            <w:r w:rsidR="00F4416A">
              <w:rPr>
                <w:rFonts w:cstheme="minorHAnsi"/>
                <w:color w:val="000000" w:themeColor="text1"/>
                <w:sz w:val="21"/>
                <w:szCs w:val="21"/>
              </w:rPr>
              <w:t>ny</w:t>
            </w:r>
            <w:r w:rsidRPr="00840DBF">
              <w:rPr>
                <w:rFonts w:cstheme="minorHAnsi"/>
                <w:color w:val="000000" w:themeColor="text1"/>
                <w:sz w:val="21"/>
                <w:szCs w:val="21"/>
              </w:rPr>
              <w:t xml:space="preserve"> individual</w:t>
            </w:r>
            <w:r w:rsidR="00F4416A">
              <w:rPr>
                <w:rFonts w:cstheme="minorHAnsi"/>
                <w:color w:val="000000" w:themeColor="text1"/>
                <w:sz w:val="21"/>
                <w:szCs w:val="21"/>
              </w:rPr>
              <w:t xml:space="preserve">, </w:t>
            </w:r>
            <w:r w:rsidRPr="00840DBF">
              <w:rPr>
                <w:rFonts w:cstheme="minorHAnsi"/>
                <w:color w:val="000000" w:themeColor="text1"/>
                <w:sz w:val="21"/>
                <w:szCs w:val="21"/>
              </w:rPr>
              <w:t xml:space="preserve">regardless of age. </w:t>
            </w:r>
          </w:p>
          <w:p w:rsidR="00F92AB6" w:rsidRDefault="00F92AB6" w:rsidP="00A61436">
            <w:pPr>
              <w:spacing w:beforeLines="80" w:before="192" w:afterLines="80" w:after="192" w:line="252" w:lineRule="auto"/>
              <w:ind w:right="-115"/>
              <w:rPr>
                <w:rFonts w:cstheme="minorHAnsi"/>
                <w:color w:val="4BACC6" w:themeColor="accent5"/>
                <w:sz w:val="21"/>
                <w:szCs w:val="21"/>
              </w:rPr>
            </w:pPr>
          </w:p>
          <w:p w:rsidR="00EE4B78" w:rsidRPr="00840DBF" w:rsidRDefault="00EE4B78" w:rsidP="00A61436">
            <w:pPr>
              <w:spacing w:beforeLines="80" w:before="192" w:afterLines="80" w:after="192" w:line="252" w:lineRule="auto"/>
              <w:ind w:right="-115"/>
              <w:rPr>
                <w:rFonts w:cstheme="minorHAnsi"/>
                <w:color w:val="4BACC6" w:themeColor="accent5"/>
                <w:sz w:val="21"/>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125" w:rsidRDefault="00840DBF" w:rsidP="00A61436">
            <w:pPr>
              <w:spacing w:beforeLines="80" w:before="192" w:afterLines="80" w:after="192"/>
              <w:rPr>
                <w:sz w:val="19"/>
                <w:szCs w:val="19"/>
              </w:rPr>
            </w:pPr>
            <w:r w:rsidRPr="00840DBF">
              <w:rPr>
                <w:rFonts w:cstheme="minorHAnsi"/>
                <w:color w:val="215868" w:themeColor="accent5" w:themeShade="80"/>
                <w:sz w:val="19"/>
                <w:szCs w:val="19"/>
              </w:rPr>
              <w:t>Effective as of 2014 (</w:t>
            </w:r>
            <w:r w:rsidRPr="00840DBF">
              <w:rPr>
                <w:color w:val="215868" w:themeColor="accent5" w:themeShade="80"/>
                <w:sz w:val="19"/>
                <w:szCs w:val="19"/>
              </w:rPr>
              <w:t>the provision became effective in 2010 for children under 19 years of age).</w:t>
            </w:r>
          </w:p>
          <w:p w:rsidR="002C1125" w:rsidRPr="002C1125" w:rsidRDefault="002C1125" w:rsidP="002C1125">
            <w:pPr>
              <w:rPr>
                <w:sz w:val="19"/>
                <w:szCs w:val="19"/>
              </w:rPr>
            </w:pPr>
          </w:p>
          <w:p w:rsidR="002C1125" w:rsidRDefault="002C1125" w:rsidP="002C1125">
            <w:pPr>
              <w:rPr>
                <w:sz w:val="19"/>
                <w:szCs w:val="19"/>
              </w:rPr>
            </w:pPr>
          </w:p>
          <w:p w:rsidR="00840DBF" w:rsidRPr="002C1125" w:rsidRDefault="00840DBF" w:rsidP="002C1125">
            <w:pPr>
              <w:rPr>
                <w:sz w:val="19"/>
                <w:szCs w:val="19"/>
              </w:rPr>
            </w:pPr>
          </w:p>
        </w:tc>
      </w:tr>
      <w:tr w:rsidR="005D3771" w:rsidRPr="00840DBF" w:rsidTr="007E6907">
        <w:tc>
          <w:tcPr>
            <w:tcW w:w="13860" w:type="dxa"/>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p w:rsidR="005D3771" w:rsidRPr="00840DBF" w:rsidRDefault="005D3771" w:rsidP="00E019E4">
            <w:pPr>
              <w:spacing w:before="60" w:after="60"/>
              <w:jc w:val="center"/>
              <w:rPr>
                <w:b/>
                <w:sz w:val="32"/>
                <w:szCs w:val="32"/>
              </w:rPr>
            </w:pPr>
            <w:r>
              <w:rPr>
                <w:b/>
                <w:color w:val="FFFFFF" w:themeColor="background1"/>
                <w:sz w:val="32"/>
                <w:szCs w:val="32"/>
              </w:rPr>
              <w:t>BENEFITS REQUIREMENTS (CONT'D)</w:t>
            </w:r>
          </w:p>
        </w:tc>
      </w:tr>
      <w:tr w:rsidR="007E6907" w:rsidRPr="00992DDB" w:rsidTr="007E6907">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4BACC6" w:themeColor="accent5"/>
            </w:tcBorders>
            <w:shd w:val="clear" w:color="auto" w:fill="EAF1DD" w:themeFill="accent3"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lastRenderedPageBreak/>
              <w:t>Completed</w:t>
            </w:r>
          </w:p>
        </w:tc>
        <w:tc>
          <w:tcPr>
            <w:tcW w:w="1440" w:type="dxa"/>
            <w:tcBorders>
              <w:top w:val="single" w:sz="4" w:space="0" w:color="4BACC6" w:themeColor="accent5"/>
            </w:tcBorders>
            <w:shd w:val="clear" w:color="auto" w:fill="F2DBDB" w:themeFill="accent2"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To Be Completed</w:t>
            </w:r>
          </w:p>
        </w:tc>
        <w:tc>
          <w:tcPr>
            <w:tcW w:w="5850" w:type="dxa"/>
            <w:tcBorders>
              <w:top w:val="single" w:sz="4" w:space="0" w:color="4BACC6" w:themeColor="accent5"/>
            </w:tcBorders>
            <w:shd w:val="clear" w:color="auto" w:fill="DAEEF3" w:themeFill="accent5"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Employer Action Items</w:t>
            </w:r>
          </w:p>
        </w:tc>
        <w:tc>
          <w:tcPr>
            <w:tcW w:w="5310" w:type="dxa"/>
            <w:tcBorders>
              <w:top w:val="single" w:sz="4" w:space="0" w:color="4BACC6" w:themeColor="accent5"/>
            </w:tcBorders>
            <w:shd w:val="clear" w:color="auto" w:fill="DAEEF3" w:themeFill="accent5" w:themeFillTint="33"/>
            <w:vAlign w:val="center"/>
          </w:tcPr>
          <w:p w:rsidR="007E6907" w:rsidRPr="007E6907" w:rsidRDefault="007E6907" w:rsidP="00ED09AB">
            <w:pPr>
              <w:jc w:val="center"/>
              <w:rPr>
                <w:b/>
                <w:i/>
                <w:color w:val="215868" w:themeColor="accent5" w:themeShade="80"/>
              </w:rPr>
            </w:pPr>
            <w:r w:rsidRPr="007E6907">
              <w:rPr>
                <w:b/>
                <w:i/>
                <w:color w:val="215868" w:themeColor="accent5" w:themeShade="80"/>
              </w:rPr>
              <w:t>Deadlines/Tips</w:t>
            </w:r>
          </w:p>
        </w:tc>
      </w:tr>
      <w:tr w:rsidR="009A4AF0" w:rsidRPr="00840DBF" w:rsidTr="00C31F5F">
        <w:tc>
          <w:tcPr>
            <w:tcW w:w="13860"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9A4AF0" w:rsidRPr="00840DBF" w:rsidRDefault="009A4AF0" w:rsidP="009A4AF0">
            <w:pPr>
              <w:spacing w:before="40" w:after="40"/>
              <w:rPr>
                <w:b/>
                <w:i/>
                <w:color w:val="215868" w:themeColor="accent5" w:themeShade="80"/>
              </w:rPr>
            </w:pPr>
            <w:r w:rsidRPr="00C31F5F">
              <w:rPr>
                <w:b/>
                <w:i/>
                <w:color w:val="FFFFFF" w:themeColor="background1"/>
              </w:rPr>
              <w:t>Non-Grandfathered Plans Only</w:t>
            </w:r>
          </w:p>
        </w:tc>
      </w:tr>
      <w:tr w:rsidR="00B2598B" w:rsidRPr="00840DBF" w:rsidTr="00604179">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2598B" w:rsidRPr="007E6907" w:rsidRDefault="00B2598B" w:rsidP="00ED09AB">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2598B" w:rsidRPr="007E6907" w:rsidRDefault="00B2598B" w:rsidP="00ED09AB">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98B" w:rsidRPr="00840DBF" w:rsidRDefault="00E140FE" w:rsidP="00604179">
            <w:pPr>
              <w:spacing w:before="40" w:after="40" w:line="245" w:lineRule="auto"/>
              <w:contextualSpacing/>
              <w:rPr>
                <w:rFonts w:ascii="Calibri" w:eastAsia="Times New Roman" w:hAnsi="Calibri" w:cs="Times New Roman"/>
                <w:sz w:val="21"/>
                <w:szCs w:val="21"/>
              </w:rPr>
            </w:pPr>
            <w:r>
              <w:rPr>
                <w:rFonts w:ascii="Calibri" w:eastAsia="Calibri" w:hAnsi="Calibri" w:cs="Times New Roman"/>
                <w:b/>
                <w:color w:val="4BACC6" w:themeColor="accent5"/>
                <w:sz w:val="21"/>
                <w:szCs w:val="21"/>
              </w:rPr>
              <w:t xml:space="preserve">Coverage of </w:t>
            </w:r>
            <w:r w:rsidR="00B2598B" w:rsidRPr="00840DBF">
              <w:rPr>
                <w:rFonts w:ascii="Calibri" w:eastAsia="Calibri" w:hAnsi="Calibri" w:cs="Times New Roman"/>
                <w:b/>
                <w:color w:val="4BACC6" w:themeColor="accent5"/>
                <w:sz w:val="21"/>
                <w:szCs w:val="21"/>
              </w:rPr>
              <w:t xml:space="preserve">Preventive Services. </w:t>
            </w:r>
            <w:r w:rsidR="00B2598B" w:rsidRPr="00840DBF">
              <w:rPr>
                <w:rFonts w:ascii="Calibri" w:eastAsia="Calibri" w:hAnsi="Calibri" w:cs="Times New Roman"/>
                <w:sz w:val="21"/>
                <w:szCs w:val="21"/>
              </w:rPr>
              <w:t xml:space="preserve">Continue to monitor guidelines for </w:t>
            </w:r>
            <w:hyperlink r:id="rId11" w:history="1">
              <w:r w:rsidR="00B2598B" w:rsidRPr="009B0A29">
                <w:rPr>
                  <w:rFonts w:ascii="Calibri" w:eastAsia="Calibri" w:hAnsi="Calibri" w:cs="Times New Roman"/>
                  <w:color w:val="00B0F0"/>
                  <w:sz w:val="21"/>
                  <w:szCs w:val="21"/>
                  <w:u w:val="single"/>
                </w:rPr>
                <w:t>preventive services</w:t>
              </w:r>
            </w:hyperlink>
            <w:r w:rsidR="00B2598B" w:rsidRPr="00840DBF">
              <w:rPr>
                <w:rFonts w:ascii="Calibri" w:eastAsia="Calibri" w:hAnsi="Calibri" w:cs="Times New Roman"/>
                <w:sz w:val="21"/>
                <w:szCs w:val="21"/>
              </w:rPr>
              <w:t>, which are regularly updated to reflect new scientific and medical advances.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598B" w:rsidRPr="00840DBF" w:rsidRDefault="00B2598B" w:rsidP="00604179">
            <w:pPr>
              <w:spacing w:before="40" w:after="40" w:line="245" w:lineRule="auto"/>
              <w:rPr>
                <w:rFonts w:cstheme="minorHAnsi"/>
                <w:color w:val="000000" w:themeColor="text1"/>
                <w:sz w:val="19"/>
                <w:szCs w:val="19"/>
              </w:rPr>
            </w:pPr>
            <w:r w:rsidRPr="00840DBF">
              <w:rPr>
                <w:rFonts w:ascii="Calibri" w:eastAsia="Calibri" w:hAnsi="Calibri" w:cs="Times New Roman"/>
                <w:color w:val="215868" w:themeColor="accent5" w:themeShade="80"/>
                <w:sz w:val="19"/>
                <w:szCs w:val="19"/>
              </w:rPr>
              <w:t>As new services are approved, plans will be required to cover them with no cost-sharing for plan years beginning one year later.</w:t>
            </w:r>
          </w:p>
        </w:tc>
      </w:tr>
      <w:tr w:rsidR="002E476C" w:rsidRPr="00840DBF" w:rsidTr="00604179">
        <w:tc>
          <w:tcPr>
            <w:tcW w:w="1260" w:type="dxa"/>
            <w:tcBorders>
              <w:top w:val="single" w:sz="4" w:space="0" w:color="auto"/>
              <w:left w:val="single" w:sz="4" w:space="0" w:color="auto"/>
              <w:bottom w:val="single" w:sz="4" w:space="0" w:color="8064A2" w:themeColor="accent4"/>
              <w:right w:val="single" w:sz="4" w:space="0" w:color="auto"/>
            </w:tcBorders>
            <w:shd w:val="clear" w:color="auto" w:fill="EAF1DD" w:themeFill="accent3" w:themeFillTint="33"/>
            <w:vAlign w:val="center"/>
          </w:tcPr>
          <w:p w:rsidR="002E476C" w:rsidRPr="007E6907" w:rsidRDefault="002E476C" w:rsidP="00907560">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8064A2" w:themeColor="accent4"/>
              <w:right w:val="single" w:sz="4" w:space="0" w:color="auto"/>
            </w:tcBorders>
            <w:shd w:val="clear" w:color="auto" w:fill="F2DBDB" w:themeFill="accent2" w:themeFillTint="33"/>
            <w:vAlign w:val="center"/>
          </w:tcPr>
          <w:p w:rsidR="002E476C" w:rsidRPr="007E6907" w:rsidRDefault="002E476C" w:rsidP="00907560">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8064A2" w:themeColor="accent4"/>
              <w:right w:val="single" w:sz="4" w:space="0" w:color="auto"/>
            </w:tcBorders>
            <w:vAlign w:val="center"/>
          </w:tcPr>
          <w:p w:rsidR="002E476C" w:rsidRPr="007317F2" w:rsidRDefault="002E476C" w:rsidP="00604179">
            <w:pPr>
              <w:spacing w:before="40" w:after="40"/>
              <w:rPr>
                <w:sz w:val="21"/>
                <w:szCs w:val="21"/>
              </w:rPr>
            </w:pPr>
            <w:r>
              <w:rPr>
                <w:rFonts w:eastAsia="Times New Roman" w:cstheme="minorHAnsi"/>
                <w:b/>
                <w:color w:val="4BACC6" w:themeColor="accent5"/>
                <w:sz w:val="21"/>
                <w:szCs w:val="21"/>
              </w:rPr>
              <w:t xml:space="preserve">Coverage of </w:t>
            </w:r>
            <w:r w:rsidRPr="007317F2">
              <w:rPr>
                <w:rFonts w:eastAsia="Times New Roman" w:cstheme="minorHAnsi"/>
                <w:b/>
                <w:color w:val="4BACC6" w:themeColor="accent5"/>
                <w:sz w:val="21"/>
                <w:szCs w:val="21"/>
              </w:rPr>
              <w:t>Essential Health Benefits.</w:t>
            </w:r>
            <w:r w:rsidRPr="007317F2">
              <w:rPr>
                <w:rFonts w:eastAsia="Times New Roman" w:cstheme="minorHAnsi"/>
                <w:color w:val="4BACC6" w:themeColor="accent5"/>
                <w:sz w:val="21"/>
                <w:szCs w:val="21"/>
              </w:rPr>
              <w:t xml:space="preserve"> </w:t>
            </w:r>
            <w:r w:rsidRPr="007317F2">
              <w:rPr>
                <w:rFonts w:eastAsia="Times New Roman" w:cstheme="minorHAnsi"/>
                <w:color w:val="000000" w:themeColor="text1"/>
                <w:sz w:val="21"/>
                <w:szCs w:val="21"/>
              </w:rPr>
              <w:t>Confirm the plan covers "</w:t>
            </w:r>
            <w:hyperlink r:id="rId12" w:history="1">
              <w:r w:rsidRPr="007317F2">
                <w:rPr>
                  <w:rFonts w:eastAsia="Times New Roman" w:cstheme="minorHAnsi"/>
                  <w:color w:val="00B0F0"/>
                  <w:sz w:val="21"/>
                  <w:szCs w:val="21"/>
                  <w:u w:val="single"/>
                </w:rPr>
                <w:t>essential health benefits</w:t>
              </w:r>
            </w:hyperlink>
            <w:r w:rsidRPr="007317F2">
              <w:rPr>
                <w:rFonts w:eastAsia="Times New Roman" w:cstheme="minorHAnsi"/>
                <w:color w:val="000000" w:themeColor="text1"/>
                <w:sz w:val="21"/>
                <w:szCs w:val="21"/>
              </w:rPr>
              <w:t xml:space="preserve">," a comprehensive </w:t>
            </w:r>
            <w:r w:rsidRPr="007317F2">
              <w:rPr>
                <w:rFonts w:eastAsia="Times New Roman" w:cstheme="minorHAnsi"/>
                <w:sz w:val="21"/>
                <w:szCs w:val="21"/>
              </w:rPr>
              <w:t>package of items and services</w:t>
            </w:r>
            <w:r w:rsidRPr="007317F2">
              <w:rPr>
                <w:sz w:val="21"/>
                <w:szCs w:val="21"/>
              </w:rPr>
              <w:t xml:space="preserve">. </w:t>
            </w:r>
          </w:p>
        </w:tc>
        <w:tc>
          <w:tcPr>
            <w:tcW w:w="5310" w:type="dxa"/>
            <w:tcBorders>
              <w:top w:val="single" w:sz="4" w:space="0" w:color="auto"/>
              <w:left w:val="single" w:sz="4" w:space="0" w:color="auto"/>
              <w:bottom w:val="single" w:sz="4" w:space="0" w:color="8064A2" w:themeColor="accent4"/>
              <w:right w:val="single" w:sz="4" w:space="0" w:color="auto"/>
            </w:tcBorders>
            <w:vAlign w:val="center"/>
          </w:tcPr>
          <w:p w:rsidR="002E476C" w:rsidRPr="00840DBF" w:rsidRDefault="002E476C" w:rsidP="00604179">
            <w:pPr>
              <w:spacing w:before="40" w:after="40"/>
              <w:rPr>
                <w:sz w:val="19"/>
                <w:szCs w:val="19"/>
              </w:rPr>
            </w:pPr>
            <w:r w:rsidRPr="00840DBF">
              <w:rPr>
                <w:rFonts w:cs="Arial"/>
                <w:color w:val="215868" w:themeColor="accent5" w:themeShade="80"/>
                <w:spacing w:val="-2"/>
                <w:sz w:val="19"/>
                <w:szCs w:val="19"/>
              </w:rPr>
              <w:t xml:space="preserve">Certain small businesses may be allowed to </w:t>
            </w:r>
            <w:hyperlink r:id="rId13" w:history="1">
              <w:r w:rsidRPr="009B0A29">
                <w:rPr>
                  <w:rFonts w:cs="Arial"/>
                  <w:color w:val="00B0F0"/>
                  <w:spacing w:val="-2"/>
                  <w:sz w:val="19"/>
                  <w:szCs w:val="19"/>
                  <w:u w:val="single"/>
                </w:rPr>
                <w:t>renew existing group coverage</w:t>
              </w:r>
            </w:hyperlink>
            <w:r w:rsidRPr="00840DBF">
              <w:rPr>
                <w:rFonts w:cs="Arial"/>
                <w:spacing w:val="-2"/>
                <w:sz w:val="19"/>
                <w:szCs w:val="19"/>
              </w:rPr>
              <w:t xml:space="preserve"> </w:t>
            </w:r>
            <w:r w:rsidRPr="00840DBF">
              <w:rPr>
                <w:rFonts w:cs="Arial"/>
                <w:color w:val="215868" w:themeColor="accent5" w:themeShade="80"/>
                <w:spacing w:val="-2"/>
                <w:sz w:val="19"/>
                <w:szCs w:val="19"/>
              </w:rPr>
              <w:t>that does not comply</w:t>
            </w:r>
            <w:r w:rsidRPr="00840DBF">
              <w:rPr>
                <w:rFonts w:cs="Arial"/>
                <w:color w:val="215868" w:themeColor="accent5" w:themeShade="80"/>
                <w:sz w:val="19"/>
                <w:szCs w:val="19"/>
              </w:rPr>
              <w:t xml:space="preserve"> with </w:t>
            </w:r>
            <w:r w:rsidRPr="00840DBF">
              <w:rPr>
                <w:color w:val="215868" w:themeColor="accent5" w:themeShade="80"/>
                <w:sz w:val="19"/>
                <w:szCs w:val="19"/>
              </w:rPr>
              <w:t>th</w:t>
            </w:r>
            <w:r>
              <w:rPr>
                <w:color w:val="215868" w:themeColor="accent5" w:themeShade="80"/>
                <w:sz w:val="19"/>
                <w:szCs w:val="19"/>
              </w:rPr>
              <w:t>is</w:t>
            </w:r>
            <w:r w:rsidRPr="00840DBF">
              <w:rPr>
                <w:color w:val="215868" w:themeColor="accent5" w:themeShade="80"/>
                <w:sz w:val="19"/>
                <w:szCs w:val="19"/>
              </w:rPr>
              <w:t xml:space="preserve"> </w:t>
            </w:r>
            <w:r w:rsidRPr="00840DBF">
              <w:rPr>
                <w:color w:val="215868" w:themeColor="accent5" w:themeShade="80"/>
                <w:spacing w:val="-4"/>
                <w:sz w:val="19"/>
                <w:szCs w:val="19"/>
              </w:rPr>
              <w:t xml:space="preserve">requirement, through policy years beginning </w:t>
            </w:r>
            <w:r w:rsidR="001D23E7">
              <w:rPr>
                <w:b/>
                <w:color w:val="215868" w:themeColor="accent5" w:themeShade="80"/>
                <w:spacing w:val="-4"/>
                <w:sz w:val="19"/>
                <w:szCs w:val="19"/>
              </w:rPr>
              <w:t>on or before October 1, 2018</w:t>
            </w:r>
            <w:r w:rsidR="0003604E" w:rsidRPr="0003604E">
              <w:rPr>
                <w:b/>
                <w:color w:val="215868" w:themeColor="accent5" w:themeShade="80"/>
                <w:spacing w:val="-4"/>
                <w:sz w:val="19"/>
                <w:szCs w:val="19"/>
              </w:rPr>
              <w:t xml:space="preserve">, so long as the </w:t>
            </w:r>
            <w:r w:rsidR="001D23E7">
              <w:rPr>
                <w:b/>
                <w:color w:val="215868" w:themeColor="accent5" w:themeShade="80"/>
                <w:spacing w:val="-4"/>
                <w:sz w:val="19"/>
                <w:szCs w:val="19"/>
              </w:rPr>
              <w:t>policy ends by December 31, 2018</w:t>
            </w:r>
            <w:r w:rsidRPr="00840DBF">
              <w:rPr>
                <w:color w:val="215868" w:themeColor="accent5" w:themeShade="80"/>
                <w:spacing w:val="-4"/>
                <w:sz w:val="19"/>
                <w:szCs w:val="19"/>
              </w:rPr>
              <w:t xml:space="preserve">. Not all states and insurers will permit coverage to renew. </w:t>
            </w:r>
            <w:r w:rsidRPr="00840DBF">
              <w:rPr>
                <w:rFonts w:cs="Arial"/>
                <w:color w:val="215868" w:themeColor="accent5" w:themeShade="80"/>
                <w:sz w:val="19"/>
                <w:szCs w:val="19"/>
              </w:rPr>
              <w:t xml:space="preserve">Businesses that </w:t>
            </w:r>
            <w:r w:rsidRPr="00840DBF">
              <w:rPr>
                <w:rFonts w:cs="Arial"/>
                <w:color w:val="215868" w:themeColor="accent5" w:themeShade="80"/>
                <w:spacing w:val="-4"/>
                <w:sz w:val="19"/>
                <w:szCs w:val="19"/>
              </w:rPr>
              <w:t>are eligible to continue existing coverage will receive a notice from their insurance companies for each policy year.</w:t>
            </w:r>
          </w:p>
        </w:tc>
      </w:tr>
      <w:tr w:rsidR="00B2598B" w:rsidRPr="00840DBF" w:rsidTr="00584E65">
        <w:tc>
          <w:tcPr>
            <w:tcW w:w="1260" w:type="dxa"/>
            <w:tcBorders>
              <w:top w:val="single" w:sz="4" w:space="0" w:color="auto"/>
              <w:left w:val="single" w:sz="4" w:space="0" w:color="auto"/>
              <w:bottom w:val="single" w:sz="4" w:space="0" w:color="8064A2" w:themeColor="accent4"/>
              <w:right w:val="single" w:sz="4" w:space="0" w:color="auto"/>
            </w:tcBorders>
            <w:shd w:val="clear" w:color="auto" w:fill="EAF1DD" w:themeFill="accent3" w:themeFillTint="33"/>
            <w:vAlign w:val="center"/>
          </w:tcPr>
          <w:p w:rsidR="00B2598B" w:rsidRPr="007E6907" w:rsidRDefault="00B2598B" w:rsidP="00ED09AB">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8064A2" w:themeColor="accent4"/>
              <w:right w:val="single" w:sz="4" w:space="0" w:color="auto"/>
            </w:tcBorders>
            <w:shd w:val="clear" w:color="auto" w:fill="F2DBDB" w:themeFill="accent2" w:themeFillTint="33"/>
            <w:vAlign w:val="center"/>
          </w:tcPr>
          <w:p w:rsidR="00B2598B" w:rsidRPr="007E6907" w:rsidRDefault="00B2598B" w:rsidP="00ED09AB">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8064A2" w:themeColor="accent4"/>
              <w:right w:val="single" w:sz="4" w:space="0" w:color="auto"/>
            </w:tcBorders>
            <w:vAlign w:val="center"/>
          </w:tcPr>
          <w:p w:rsidR="00B2598B" w:rsidRPr="007317F2" w:rsidRDefault="00B2598B" w:rsidP="00604179">
            <w:pPr>
              <w:spacing w:before="40" w:after="40" w:line="252" w:lineRule="auto"/>
              <w:ind w:right="-115"/>
              <w:rPr>
                <w:rFonts w:cstheme="minorHAnsi"/>
                <w:b/>
                <w:color w:val="000000" w:themeColor="text1"/>
                <w:sz w:val="21"/>
                <w:szCs w:val="21"/>
              </w:rPr>
            </w:pPr>
            <w:r w:rsidRPr="007317F2">
              <w:rPr>
                <w:rFonts w:eastAsia="Times New Roman" w:cstheme="minorHAnsi"/>
                <w:b/>
                <w:color w:val="4BACC6" w:themeColor="accent5"/>
                <w:sz w:val="21"/>
                <w:szCs w:val="21"/>
              </w:rPr>
              <w:t>Limits on Cost-Sharing.</w:t>
            </w:r>
            <w:r w:rsidRPr="007317F2">
              <w:rPr>
                <w:rFonts w:eastAsia="Times New Roman" w:cstheme="minorHAnsi"/>
                <w:color w:val="000000" w:themeColor="text1"/>
                <w:sz w:val="21"/>
                <w:szCs w:val="21"/>
              </w:rPr>
              <w:t xml:space="preserve"> Ensure </w:t>
            </w:r>
            <w:r w:rsidRPr="007317F2">
              <w:rPr>
                <w:rFonts w:cs="Arial"/>
                <w:spacing w:val="-4"/>
                <w:sz w:val="21"/>
                <w:szCs w:val="21"/>
              </w:rPr>
              <w:t>that annual</w:t>
            </w:r>
            <w:r w:rsidRPr="007317F2">
              <w:rPr>
                <w:rFonts w:cs="Arial"/>
                <w:b/>
                <w:color w:val="4BACC6" w:themeColor="accent5"/>
                <w:spacing w:val="-4"/>
                <w:sz w:val="21"/>
                <w:szCs w:val="21"/>
              </w:rPr>
              <w:t xml:space="preserve"> </w:t>
            </w:r>
            <w:hyperlink r:id="rId14" w:history="1">
              <w:r w:rsidRPr="00DE3A5F">
                <w:rPr>
                  <w:rFonts w:cs="Arial"/>
                  <w:color w:val="00B0F0"/>
                  <w:spacing w:val="-4"/>
                  <w:sz w:val="21"/>
                  <w:szCs w:val="21"/>
                  <w:u w:val="single"/>
                </w:rPr>
                <w:t>out-of-pocket costs</w:t>
              </w:r>
            </w:hyperlink>
            <w:r w:rsidRPr="007317F2">
              <w:rPr>
                <w:rFonts w:cs="Arial"/>
                <w:b/>
                <w:color w:val="00B0F0"/>
                <w:spacing w:val="-4"/>
                <w:sz w:val="21"/>
                <w:szCs w:val="21"/>
              </w:rPr>
              <w:t xml:space="preserve"> </w:t>
            </w:r>
            <w:r w:rsidRPr="007317F2">
              <w:rPr>
                <w:rFonts w:cs="Arial"/>
                <w:spacing w:val="-4"/>
                <w:sz w:val="21"/>
                <w:szCs w:val="21"/>
              </w:rPr>
              <w:t xml:space="preserve">for coverage of </w:t>
            </w:r>
            <w:r w:rsidRPr="007317F2">
              <w:rPr>
                <w:rFonts w:cs="Arial"/>
                <w:b/>
                <w:spacing w:val="-4"/>
                <w:sz w:val="21"/>
                <w:szCs w:val="21"/>
              </w:rPr>
              <w:t>all</w:t>
            </w:r>
            <w:r w:rsidRPr="007317F2">
              <w:rPr>
                <w:rFonts w:cs="Arial"/>
                <w:spacing w:val="-4"/>
                <w:sz w:val="21"/>
                <w:szCs w:val="21"/>
              </w:rPr>
              <w:t xml:space="preserve"> "essential health benefits" provided in-network</w:t>
            </w:r>
            <w:r w:rsidRPr="007317F2">
              <w:rPr>
                <w:rFonts w:cs="Arial"/>
                <w:sz w:val="21"/>
                <w:szCs w:val="21"/>
              </w:rPr>
              <w:t xml:space="preserve"> do not exceed </w:t>
            </w:r>
            <w:r w:rsidR="0057019F">
              <w:rPr>
                <w:rFonts w:cs="Arial"/>
                <w:b/>
                <w:sz w:val="21"/>
                <w:szCs w:val="21"/>
              </w:rPr>
              <w:t>$7,</w:t>
            </w:r>
            <w:r w:rsidR="00F92AB6">
              <w:rPr>
                <w:rFonts w:cs="Arial"/>
                <w:b/>
                <w:sz w:val="21"/>
                <w:szCs w:val="21"/>
              </w:rPr>
              <w:t>3</w:t>
            </w:r>
            <w:r w:rsidR="0057019F">
              <w:rPr>
                <w:rFonts w:cs="Arial"/>
                <w:b/>
                <w:sz w:val="21"/>
                <w:szCs w:val="21"/>
              </w:rPr>
              <w:t>50</w:t>
            </w:r>
            <w:r w:rsidR="0057019F">
              <w:rPr>
                <w:rFonts w:cs="Arial"/>
                <w:sz w:val="21"/>
                <w:szCs w:val="21"/>
              </w:rPr>
              <w:t xml:space="preserve"> </w:t>
            </w:r>
            <w:r w:rsidR="0057019F">
              <w:rPr>
                <w:rFonts w:cs="Arial"/>
                <w:b/>
                <w:sz w:val="21"/>
                <w:szCs w:val="21"/>
              </w:rPr>
              <w:t>for self-only coverage</w:t>
            </w:r>
            <w:r w:rsidR="0057019F">
              <w:rPr>
                <w:rFonts w:cs="Arial"/>
                <w:sz w:val="21"/>
                <w:szCs w:val="21"/>
              </w:rPr>
              <w:t xml:space="preserve"> or </w:t>
            </w:r>
            <w:r w:rsidR="0057019F">
              <w:rPr>
                <w:rFonts w:cs="Arial"/>
                <w:b/>
                <w:sz w:val="21"/>
                <w:szCs w:val="21"/>
              </w:rPr>
              <w:t>$14,</w:t>
            </w:r>
            <w:r w:rsidR="00F92AB6">
              <w:rPr>
                <w:rFonts w:cs="Arial"/>
                <w:b/>
                <w:sz w:val="21"/>
                <w:szCs w:val="21"/>
              </w:rPr>
              <w:t>7</w:t>
            </w:r>
            <w:r w:rsidR="0057019F">
              <w:rPr>
                <w:rFonts w:cs="Arial"/>
                <w:b/>
                <w:sz w:val="21"/>
                <w:szCs w:val="21"/>
              </w:rPr>
              <w:t>00 for other than self-only coverage</w:t>
            </w:r>
            <w:r w:rsidRPr="007317F2">
              <w:rPr>
                <w:rFonts w:cstheme="minorHAnsi"/>
                <w:color w:val="000000" w:themeColor="text1"/>
                <w:sz w:val="21"/>
                <w:szCs w:val="21"/>
              </w:rPr>
              <w:t>.</w:t>
            </w:r>
          </w:p>
          <w:p w:rsidR="00B2598B" w:rsidRPr="00840DBF" w:rsidRDefault="00B2598B" w:rsidP="00604179">
            <w:pPr>
              <w:spacing w:before="40" w:after="40"/>
              <w:ind w:right="-115"/>
              <w:rPr>
                <w:rFonts w:cstheme="minorHAnsi"/>
                <w:b/>
                <w:color w:val="000000" w:themeColor="text1"/>
              </w:rPr>
            </w:pPr>
          </w:p>
          <w:p w:rsidR="00B2598B" w:rsidRPr="00840DBF" w:rsidRDefault="00B2598B" w:rsidP="00604179">
            <w:pPr>
              <w:spacing w:before="40" w:after="40" w:line="252" w:lineRule="auto"/>
            </w:pPr>
          </w:p>
        </w:tc>
        <w:tc>
          <w:tcPr>
            <w:tcW w:w="5310" w:type="dxa"/>
            <w:tcBorders>
              <w:top w:val="single" w:sz="4" w:space="0" w:color="auto"/>
              <w:left w:val="single" w:sz="4" w:space="0" w:color="auto"/>
              <w:bottom w:val="single" w:sz="4" w:space="0" w:color="8064A2" w:themeColor="accent4"/>
              <w:right w:val="single" w:sz="4" w:space="0" w:color="auto"/>
            </w:tcBorders>
            <w:vAlign w:val="center"/>
          </w:tcPr>
          <w:p w:rsidR="00B2598B" w:rsidRPr="00840DBF" w:rsidRDefault="00B2598B" w:rsidP="00604179">
            <w:pPr>
              <w:spacing w:before="40" w:after="40"/>
              <w:rPr>
                <w:rFonts w:cstheme="minorHAnsi"/>
                <w:color w:val="215868" w:themeColor="accent5" w:themeShade="80"/>
                <w:sz w:val="19"/>
                <w:szCs w:val="19"/>
              </w:rPr>
            </w:pPr>
            <w:r w:rsidRPr="00840DBF">
              <w:rPr>
                <w:rFonts w:cstheme="minorHAnsi"/>
                <w:color w:val="215868" w:themeColor="accent5" w:themeShade="80"/>
                <w:sz w:val="19"/>
                <w:szCs w:val="19"/>
              </w:rPr>
              <w:t xml:space="preserve">Cost-sharing limits have been </w:t>
            </w:r>
            <w:r w:rsidR="00403829">
              <w:rPr>
                <w:rFonts w:cstheme="minorHAnsi"/>
                <w:color w:val="215868" w:themeColor="accent5" w:themeShade="80"/>
                <w:sz w:val="19"/>
                <w:szCs w:val="19"/>
              </w:rPr>
              <w:t xml:space="preserve">in </w:t>
            </w:r>
            <w:r w:rsidRPr="00840DBF">
              <w:rPr>
                <w:rFonts w:cstheme="minorHAnsi"/>
                <w:color w:val="215868" w:themeColor="accent5" w:themeShade="80"/>
                <w:sz w:val="19"/>
                <w:szCs w:val="19"/>
              </w:rPr>
              <w:t>effect</w:t>
            </w:r>
            <w:r w:rsidR="00403829">
              <w:rPr>
                <w:rFonts w:cstheme="minorHAnsi"/>
                <w:color w:val="215868" w:themeColor="accent5" w:themeShade="80"/>
                <w:sz w:val="19"/>
                <w:szCs w:val="19"/>
              </w:rPr>
              <w:t xml:space="preserve"> since</w:t>
            </w:r>
            <w:r w:rsidRPr="00840DBF">
              <w:rPr>
                <w:rFonts w:cstheme="minorHAnsi"/>
                <w:color w:val="215868" w:themeColor="accent5" w:themeShade="80"/>
                <w:sz w:val="19"/>
                <w:szCs w:val="19"/>
              </w:rPr>
              <w:t xml:space="preserve"> 2014</w:t>
            </w:r>
            <w:r w:rsidRPr="00C753A5">
              <w:rPr>
                <w:rFonts w:cstheme="minorHAnsi"/>
                <w:color w:val="215868" w:themeColor="accent5" w:themeShade="80"/>
                <w:sz w:val="19"/>
                <w:szCs w:val="19"/>
              </w:rPr>
              <w:t>.</w:t>
            </w:r>
            <w:r w:rsidR="00F92AB6">
              <w:rPr>
                <w:rFonts w:cstheme="minorHAnsi"/>
                <w:color w:val="215868" w:themeColor="accent5" w:themeShade="80"/>
                <w:sz w:val="19"/>
                <w:szCs w:val="19"/>
              </w:rPr>
              <w:t xml:space="preserve"> T</w:t>
            </w:r>
            <w:r w:rsidR="00336F2E" w:rsidRPr="00C753A5">
              <w:rPr>
                <w:rFonts w:cstheme="minorHAnsi"/>
                <w:color w:val="215868" w:themeColor="accent5" w:themeShade="80"/>
                <w:sz w:val="19"/>
                <w:szCs w:val="19"/>
              </w:rPr>
              <w:t xml:space="preserve">he self-only maximum annual limitation on cost-sharing applies to </w:t>
            </w:r>
            <w:r w:rsidR="00336F2E" w:rsidRPr="00C753A5">
              <w:rPr>
                <w:rFonts w:cstheme="minorHAnsi"/>
                <w:b/>
                <w:color w:val="215868" w:themeColor="accent5" w:themeShade="80"/>
                <w:sz w:val="19"/>
                <w:szCs w:val="19"/>
              </w:rPr>
              <w:t>each individual</w:t>
            </w:r>
            <w:r w:rsidR="00336F2E" w:rsidRPr="00C753A5">
              <w:rPr>
                <w:rFonts w:cstheme="minorHAnsi"/>
                <w:color w:val="215868" w:themeColor="accent5" w:themeShade="80"/>
                <w:sz w:val="19"/>
                <w:szCs w:val="19"/>
              </w:rPr>
              <w:t>, regardless of whether the individual is enrolled in self-only coverage or other coverage that is not self-only coverage under a group health plan.</w:t>
            </w:r>
          </w:p>
          <w:p w:rsidR="00B2598B" w:rsidRPr="00685FB1" w:rsidRDefault="00B2598B" w:rsidP="00604179">
            <w:pPr>
              <w:spacing w:before="40" w:after="40"/>
              <w:rPr>
                <w:rFonts w:cstheme="minorHAnsi"/>
                <w:color w:val="000000" w:themeColor="text1"/>
                <w:sz w:val="6"/>
                <w:szCs w:val="6"/>
              </w:rPr>
            </w:pPr>
          </w:p>
          <w:p w:rsidR="00B2598B" w:rsidRPr="00840DBF" w:rsidRDefault="00B2598B" w:rsidP="00604179">
            <w:pPr>
              <w:spacing w:before="40" w:after="40"/>
              <w:rPr>
                <w:rFonts w:cs="Arial"/>
                <w:color w:val="215868" w:themeColor="accent5" w:themeShade="80"/>
                <w:spacing w:val="-4"/>
                <w:sz w:val="18"/>
                <w:szCs w:val="18"/>
              </w:rPr>
            </w:pPr>
            <w:r w:rsidRPr="00840DBF">
              <w:rPr>
                <w:rFonts w:cs="Arial"/>
                <w:color w:val="215868" w:themeColor="accent5" w:themeShade="80"/>
                <w:spacing w:val="-2"/>
                <w:sz w:val="19"/>
                <w:szCs w:val="19"/>
              </w:rPr>
              <w:t xml:space="preserve">Certain small businesses may be allowed to </w:t>
            </w:r>
            <w:hyperlink r:id="rId15" w:history="1">
              <w:r w:rsidRPr="009B0A29">
                <w:rPr>
                  <w:rFonts w:cs="Arial"/>
                  <w:color w:val="00B0F0"/>
                  <w:spacing w:val="-2"/>
                  <w:sz w:val="19"/>
                  <w:szCs w:val="19"/>
                  <w:u w:val="single"/>
                </w:rPr>
                <w:t>renew existing group coverage</w:t>
              </w:r>
            </w:hyperlink>
            <w:r w:rsidRPr="00840DBF">
              <w:rPr>
                <w:rFonts w:cs="Arial"/>
                <w:spacing w:val="-2"/>
                <w:sz w:val="18"/>
                <w:szCs w:val="18"/>
              </w:rPr>
              <w:t xml:space="preserve"> </w:t>
            </w:r>
            <w:r w:rsidRPr="00840DBF">
              <w:rPr>
                <w:rFonts w:cs="Arial"/>
                <w:color w:val="215868" w:themeColor="accent5" w:themeShade="80"/>
                <w:spacing w:val="-2"/>
                <w:sz w:val="19"/>
                <w:szCs w:val="19"/>
              </w:rPr>
              <w:t>that does not comply</w:t>
            </w:r>
            <w:r w:rsidRPr="00840DBF">
              <w:rPr>
                <w:rFonts w:cs="Arial"/>
                <w:color w:val="215868" w:themeColor="accent5" w:themeShade="80"/>
                <w:sz w:val="19"/>
                <w:szCs w:val="19"/>
              </w:rPr>
              <w:t xml:space="preserve"> with</w:t>
            </w:r>
            <w:r w:rsidRPr="00840DBF">
              <w:rPr>
                <w:color w:val="215868" w:themeColor="accent5" w:themeShade="80"/>
                <w:sz w:val="19"/>
                <w:szCs w:val="19"/>
              </w:rPr>
              <w:t xml:space="preserve"> this requirement</w:t>
            </w:r>
            <w:r w:rsidRPr="00840DBF">
              <w:rPr>
                <w:color w:val="215868" w:themeColor="accent5" w:themeShade="80"/>
                <w:spacing w:val="-4"/>
                <w:sz w:val="19"/>
                <w:szCs w:val="19"/>
              </w:rPr>
              <w:t xml:space="preserve">, through policy years beginning </w:t>
            </w:r>
            <w:r w:rsidR="001D23E7">
              <w:rPr>
                <w:b/>
                <w:color w:val="215868" w:themeColor="accent5" w:themeShade="80"/>
                <w:spacing w:val="-4"/>
                <w:sz w:val="19"/>
                <w:szCs w:val="19"/>
              </w:rPr>
              <w:t>on or before October 1, 2018</w:t>
            </w:r>
            <w:r w:rsidR="0003604E" w:rsidRPr="0003604E">
              <w:rPr>
                <w:b/>
                <w:color w:val="215868" w:themeColor="accent5" w:themeShade="80"/>
                <w:spacing w:val="-4"/>
                <w:sz w:val="19"/>
                <w:szCs w:val="19"/>
              </w:rPr>
              <w:t xml:space="preserve">, so long as the </w:t>
            </w:r>
            <w:r w:rsidR="001D23E7">
              <w:rPr>
                <w:b/>
                <w:color w:val="215868" w:themeColor="accent5" w:themeShade="80"/>
                <w:spacing w:val="-4"/>
                <w:sz w:val="19"/>
                <w:szCs w:val="19"/>
              </w:rPr>
              <w:t>policy ends by December 31, 2018</w:t>
            </w:r>
            <w:r w:rsidRPr="00840DBF">
              <w:rPr>
                <w:color w:val="215868" w:themeColor="accent5" w:themeShade="80"/>
                <w:spacing w:val="-4"/>
                <w:sz w:val="19"/>
                <w:szCs w:val="19"/>
              </w:rPr>
              <w:t xml:space="preserve">. Not all states and insurers will permit coverage to renew. </w:t>
            </w:r>
            <w:r w:rsidRPr="00840DBF">
              <w:rPr>
                <w:rFonts w:cs="Arial"/>
                <w:color w:val="215868" w:themeColor="accent5" w:themeShade="80"/>
                <w:sz w:val="19"/>
                <w:szCs w:val="19"/>
              </w:rPr>
              <w:t xml:space="preserve">Businesses that </w:t>
            </w:r>
            <w:r w:rsidRPr="00840DBF">
              <w:rPr>
                <w:rFonts w:cs="Arial"/>
                <w:color w:val="215868" w:themeColor="accent5" w:themeShade="80"/>
                <w:spacing w:val="-4"/>
                <w:sz w:val="19"/>
                <w:szCs w:val="19"/>
              </w:rPr>
              <w:t>are eligible to continue existing coverage will receive a notice from their insurance companies for each policy year.</w:t>
            </w:r>
          </w:p>
        </w:tc>
      </w:tr>
      <w:tr w:rsidR="00B2598B" w:rsidRPr="00840DBF" w:rsidTr="00584E65">
        <w:tc>
          <w:tcPr>
            <w:tcW w:w="13860" w:type="dxa"/>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rsidR="00B2598B" w:rsidRPr="00840DBF" w:rsidRDefault="00B2598B" w:rsidP="00E019E4">
            <w:pPr>
              <w:spacing w:before="60" w:after="60"/>
              <w:jc w:val="center"/>
              <w:rPr>
                <w:b/>
                <w:sz w:val="32"/>
                <w:szCs w:val="32"/>
              </w:rPr>
            </w:pPr>
            <w:r>
              <w:rPr>
                <w:b/>
                <w:color w:val="FFFFFF" w:themeColor="background1"/>
                <w:sz w:val="32"/>
                <w:szCs w:val="32"/>
              </w:rPr>
              <w:t>NOTICES</w:t>
            </w:r>
          </w:p>
        </w:tc>
      </w:tr>
      <w:tr w:rsidR="007E6907" w:rsidRPr="00992DDB" w:rsidTr="007E6907">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8064A2" w:themeColor="accent4"/>
            </w:tcBorders>
            <w:shd w:val="clear" w:color="auto" w:fill="EAF1DD" w:themeFill="accent3" w:themeFillTint="33"/>
            <w:vAlign w:val="center"/>
          </w:tcPr>
          <w:p w:rsidR="007E6907" w:rsidRPr="00992DDB" w:rsidRDefault="007E6907" w:rsidP="00ED09AB">
            <w:pPr>
              <w:jc w:val="center"/>
              <w:rPr>
                <w:b/>
                <w:i/>
                <w:color w:val="403152" w:themeColor="accent4" w:themeShade="80"/>
              </w:rPr>
            </w:pPr>
            <w:r w:rsidRPr="00992DDB">
              <w:rPr>
                <w:b/>
                <w:i/>
                <w:color w:val="403152" w:themeColor="accent4" w:themeShade="80"/>
              </w:rPr>
              <w:t>Completed</w:t>
            </w:r>
          </w:p>
        </w:tc>
        <w:tc>
          <w:tcPr>
            <w:tcW w:w="1440" w:type="dxa"/>
            <w:tcBorders>
              <w:top w:val="single" w:sz="4" w:space="0" w:color="8064A2" w:themeColor="accent4"/>
            </w:tcBorders>
            <w:shd w:val="clear" w:color="auto" w:fill="F2DBDB" w:themeFill="accent2" w:themeFillTint="33"/>
            <w:vAlign w:val="center"/>
          </w:tcPr>
          <w:p w:rsidR="007E6907" w:rsidRPr="00992DDB" w:rsidRDefault="007E6907" w:rsidP="00ED09AB">
            <w:pPr>
              <w:jc w:val="center"/>
              <w:rPr>
                <w:b/>
                <w:i/>
                <w:color w:val="403152" w:themeColor="accent4" w:themeShade="80"/>
              </w:rPr>
            </w:pPr>
            <w:r w:rsidRPr="00992DDB">
              <w:rPr>
                <w:b/>
                <w:i/>
                <w:color w:val="403152" w:themeColor="accent4" w:themeShade="80"/>
              </w:rPr>
              <w:t>To Be Completed</w:t>
            </w:r>
          </w:p>
        </w:tc>
        <w:tc>
          <w:tcPr>
            <w:tcW w:w="5850" w:type="dxa"/>
            <w:tcBorders>
              <w:top w:val="single" w:sz="4" w:space="0" w:color="8064A2" w:themeColor="accent4"/>
            </w:tcBorders>
            <w:shd w:val="clear" w:color="auto" w:fill="E5DFEC" w:themeFill="accent4" w:themeFillTint="33"/>
            <w:vAlign w:val="center"/>
          </w:tcPr>
          <w:p w:rsidR="007E6907" w:rsidRPr="00992DDB" w:rsidRDefault="007E6907" w:rsidP="00ED09AB">
            <w:pPr>
              <w:jc w:val="center"/>
              <w:rPr>
                <w:b/>
                <w:i/>
                <w:color w:val="403152" w:themeColor="accent4" w:themeShade="80"/>
              </w:rPr>
            </w:pPr>
            <w:r w:rsidRPr="00992DDB">
              <w:rPr>
                <w:b/>
                <w:i/>
                <w:color w:val="403152" w:themeColor="accent4" w:themeShade="80"/>
              </w:rPr>
              <w:t>Employer Action Items</w:t>
            </w:r>
          </w:p>
        </w:tc>
        <w:tc>
          <w:tcPr>
            <w:tcW w:w="5310" w:type="dxa"/>
            <w:tcBorders>
              <w:top w:val="single" w:sz="4" w:space="0" w:color="8064A2" w:themeColor="accent4"/>
            </w:tcBorders>
            <w:shd w:val="clear" w:color="auto" w:fill="E5DFEC" w:themeFill="accent4" w:themeFillTint="33"/>
            <w:vAlign w:val="center"/>
          </w:tcPr>
          <w:p w:rsidR="007E6907" w:rsidRPr="00992DDB" w:rsidRDefault="007E6907" w:rsidP="00ED09AB">
            <w:pPr>
              <w:jc w:val="center"/>
              <w:rPr>
                <w:b/>
                <w:i/>
                <w:color w:val="403152" w:themeColor="accent4" w:themeShade="80"/>
              </w:rPr>
            </w:pPr>
            <w:r w:rsidRPr="00992DDB">
              <w:rPr>
                <w:b/>
                <w:i/>
                <w:color w:val="403152" w:themeColor="accent4" w:themeShade="80"/>
              </w:rPr>
              <w:t>Deadlines/Tips</w:t>
            </w:r>
          </w:p>
        </w:tc>
      </w:tr>
      <w:tr w:rsidR="00840DBF" w:rsidRPr="00840DBF" w:rsidTr="00C753A5">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840DBF">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840DBF">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A6465" w:rsidRDefault="00840DBF" w:rsidP="00453A98">
            <w:pPr>
              <w:spacing w:before="40" w:after="40" w:line="245" w:lineRule="auto"/>
              <w:contextualSpacing/>
              <w:rPr>
                <w:rFonts w:ascii="Calibri" w:eastAsia="Times New Roman" w:hAnsi="Calibri" w:cs="Times New Roman"/>
                <w:spacing w:val="-2"/>
                <w:sz w:val="21"/>
                <w:szCs w:val="21"/>
              </w:rPr>
            </w:pPr>
            <w:r w:rsidRPr="001B0708">
              <w:rPr>
                <w:rFonts w:ascii="Calibri" w:eastAsia="Calibri" w:hAnsi="Calibri" w:cs="Times New Roman"/>
                <w:b/>
                <w:bCs/>
                <w:color w:val="8064A2" w:themeColor="accent4"/>
                <w:spacing w:val="-4"/>
                <w:sz w:val="21"/>
                <w:szCs w:val="21"/>
              </w:rPr>
              <w:t>Distribute Notice of Coverage Options.</w:t>
            </w:r>
            <w:r w:rsidRPr="001B0708">
              <w:rPr>
                <w:rFonts w:ascii="Calibri" w:eastAsia="Calibri" w:hAnsi="Calibri" w:cs="Times New Roman"/>
                <w:bCs/>
                <w:color w:val="8064A2" w:themeColor="accent4"/>
                <w:spacing w:val="-4"/>
                <w:sz w:val="21"/>
                <w:szCs w:val="21"/>
              </w:rPr>
              <w:t xml:space="preserve"> </w:t>
            </w:r>
            <w:r w:rsidRPr="00840DBF">
              <w:rPr>
                <w:rFonts w:ascii="Calibri" w:eastAsia="Calibri" w:hAnsi="Calibri" w:cs="Times New Roman"/>
                <w:bCs/>
                <w:spacing w:val="-4"/>
                <w:sz w:val="21"/>
                <w:szCs w:val="21"/>
              </w:rPr>
              <w:t xml:space="preserve">Provide a </w:t>
            </w:r>
            <w:r w:rsidRPr="00F92AB6">
              <w:rPr>
                <w:rFonts w:ascii="Calibri" w:eastAsia="Times New Roman" w:hAnsi="Calibri" w:cs="Times New Roman"/>
                <w:spacing w:val="-2"/>
                <w:sz w:val="21"/>
                <w:szCs w:val="21"/>
              </w:rPr>
              <w:t xml:space="preserve">written notice </w:t>
            </w:r>
            <w:r w:rsidRPr="00840DBF">
              <w:rPr>
                <w:rFonts w:ascii="Calibri" w:eastAsia="Times New Roman" w:hAnsi="Calibri" w:cs="Times New Roman"/>
                <w:spacing w:val="-2"/>
                <w:sz w:val="21"/>
                <w:szCs w:val="21"/>
              </w:rPr>
              <w:t xml:space="preserve">with information about </w:t>
            </w:r>
            <w:r w:rsidR="004927CE">
              <w:rPr>
                <w:rFonts w:ascii="Calibri" w:eastAsia="Times New Roman" w:hAnsi="Calibri" w:cs="Times New Roman"/>
                <w:spacing w:val="-2"/>
                <w:sz w:val="21"/>
                <w:szCs w:val="21"/>
              </w:rPr>
              <w:t>the</w:t>
            </w:r>
            <w:r w:rsidRPr="00840DBF">
              <w:rPr>
                <w:rFonts w:ascii="Calibri" w:eastAsia="Times New Roman" w:hAnsi="Calibri" w:cs="Times New Roman"/>
                <w:spacing w:val="-2"/>
                <w:sz w:val="21"/>
                <w:szCs w:val="21"/>
              </w:rPr>
              <w:t xml:space="preserve"> Health Insurance Marketplace to each new employee. </w:t>
            </w:r>
          </w:p>
          <w:p w:rsidR="00F92AB6" w:rsidRPr="00F904D9" w:rsidRDefault="00F92AB6" w:rsidP="00453A98">
            <w:pPr>
              <w:spacing w:before="40" w:after="40" w:line="245" w:lineRule="auto"/>
              <w:contextualSpacing/>
              <w:rPr>
                <w:rFonts w:ascii="Calibri" w:eastAsia="Times New Roman" w:hAnsi="Calibri" w:cs="Times New Roman"/>
                <w:spacing w:val="-2"/>
                <w:sz w:val="21"/>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3A98" w:rsidRPr="00F904D9" w:rsidRDefault="00840DBF" w:rsidP="00136EC3">
            <w:pPr>
              <w:spacing w:before="40" w:after="40" w:line="245" w:lineRule="auto"/>
              <w:contextualSpacing/>
              <w:rPr>
                <w:rFonts w:ascii="Calibri" w:eastAsia="Calibri" w:hAnsi="Calibri" w:cs="Arial"/>
                <w:color w:val="403152" w:themeColor="accent4" w:themeShade="80"/>
                <w:sz w:val="19"/>
                <w:szCs w:val="19"/>
              </w:rPr>
            </w:pPr>
            <w:r w:rsidRPr="001B0708">
              <w:rPr>
                <w:rFonts w:ascii="Calibri" w:eastAsia="Calibri" w:hAnsi="Calibri" w:cs="Arial"/>
                <w:color w:val="403152" w:themeColor="accent4" w:themeShade="80"/>
                <w:sz w:val="19"/>
                <w:szCs w:val="19"/>
              </w:rPr>
              <w:t xml:space="preserve">Must be provided to each new employee at the time of hiring, within 14 days of the employee's start date. </w:t>
            </w:r>
            <w:r w:rsidR="004927CE" w:rsidRPr="001B0708">
              <w:rPr>
                <w:rFonts w:ascii="Calibri" w:eastAsia="Calibri" w:hAnsi="Calibri" w:cs="Arial"/>
                <w:color w:val="403152" w:themeColor="accent4" w:themeShade="80"/>
                <w:sz w:val="19"/>
                <w:szCs w:val="19"/>
              </w:rPr>
              <w:t>A</w:t>
            </w:r>
            <w:r w:rsidRPr="001B0708">
              <w:rPr>
                <w:rFonts w:ascii="Calibri" w:eastAsia="Calibri" w:hAnsi="Calibri" w:cs="Arial"/>
                <w:color w:val="403152" w:themeColor="accent4" w:themeShade="80"/>
                <w:sz w:val="19"/>
                <w:szCs w:val="19"/>
              </w:rPr>
              <w:t xml:space="preserve"> </w:t>
            </w:r>
            <w:hyperlink r:id="rId16" w:history="1">
              <w:r w:rsidRPr="009B0A29">
                <w:rPr>
                  <w:rStyle w:val="Hyperlink"/>
                  <w:rFonts w:ascii="Calibri" w:eastAsia="Calibri" w:hAnsi="Calibri" w:cs="Arial"/>
                  <w:color w:val="00B0F0"/>
                  <w:sz w:val="19"/>
                  <w:szCs w:val="19"/>
                </w:rPr>
                <w:t>model notice</w:t>
              </w:r>
            </w:hyperlink>
            <w:r w:rsidR="004927CE">
              <w:rPr>
                <w:rFonts w:ascii="Calibri" w:eastAsia="Calibri" w:hAnsi="Calibri" w:cs="Arial"/>
                <w:color w:val="215868" w:themeColor="accent5" w:themeShade="80"/>
                <w:sz w:val="19"/>
                <w:szCs w:val="19"/>
              </w:rPr>
              <w:t xml:space="preserve"> </w:t>
            </w:r>
            <w:r w:rsidR="004927CE" w:rsidRPr="001B0708">
              <w:rPr>
                <w:rFonts w:ascii="Calibri" w:eastAsia="Calibri" w:hAnsi="Calibri" w:cs="Arial"/>
                <w:color w:val="403152" w:themeColor="accent4" w:themeShade="80"/>
                <w:sz w:val="19"/>
                <w:szCs w:val="19"/>
              </w:rPr>
              <w:t>i</w:t>
            </w:r>
            <w:r w:rsidRPr="001B0708">
              <w:rPr>
                <w:rFonts w:ascii="Calibri" w:eastAsia="Calibri" w:hAnsi="Calibri" w:cs="Arial"/>
                <w:color w:val="403152" w:themeColor="accent4" w:themeShade="80"/>
                <w:sz w:val="19"/>
                <w:szCs w:val="19"/>
              </w:rPr>
              <w:t>s available to help employers comply with this requirement</w:t>
            </w:r>
            <w:r w:rsidRPr="001B0708">
              <w:rPr>
                <w:rFonts w:ascii="Calibri" w:eastAsia="Calibri" w:hAnsi="Calibri" w:cs="Arial"/>
                <w:color w:val="403152" w:themeColor="accent4" w:themeShade="80"/>
                <w:spacing w:val="-4"/>
                <w:sz w:val="19"/>
                <w:szCs w:val="19"/>
              </w:rPr>
              <w:t>.</w:t>
            </w:r>
            <w:r w:rsidRPr="001B0708">
              <w:rPr>
                <w:rFonts w:ascii="Calibri" w:eastAsia="Calibri" w:hAnsi="Calibri" w:cstheme="minorHAnsi"/>
                <w:color w:val="403152" w:themeColor="accent4" w:themeShade="80"/>
                <w:spacing w:val="-4"/>
                <w:sz w:val="19"/>
                <w:szCs w:val="19"/>
              </w:rPr>
              <w:t xml:space="preserve"> </w:t>
            </w:r>
          </w:p>
        </w:tc>
      </w:tr>
    </w:tbl>
    <w:p w:rsidR="00E019E4" w:rsidRPr="0003604E" w:rsidRDefault="00E019E4" w:rsidP="0003604E">
      <w:pPr>
        <w:spacing w:after="0"/>
        <w:rPr>
          <w:sz w:val="2"/>
          <w:szCs w:val="2"/>
        </w:rPr>
      </w:pPr>
    </w:p>
    <w:tbl>
      <w:tblPr>
        <w:tblStyle w:val="TableGrid"/>
        <w:tblW w:w="13860" w:type="dxa"/>
        <w:tblInd w:w="-162"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440"/>
        <w:gridCol w:w="5850"/>
        <w:gridCol w:w="5310"/>
      </w:tblGrid>
      <w:tr w:rsidR="00E019E4" w:rsidRPr="00840DBF" w:rsidTr="00ED09AB">
        <w:tc>
          <w:tcPr>
            <w:tcW w:w="13860" w:type="dxa"/>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rsidR="00E019E4" w:rsidRPr="00840DBF" w:rsidRDefault="00E019E4" w:rsidP="001D50A7">
            <w:pPr>
              <w:jc w:val="center"/>
              <w:rPr>
                <w:b/>
                <w:sz w:val="32"/>
                <w:szCs w:val="32"/>
              </w:rPr>
            </w:pPr>
            <w:r>
              <w:rPr>
                <w:b/>
                <w:color w:val="FFFFFF" w:themeColor="background1"/>
                <w:sz w:val="32"/>
                <w:szCs w:val="32"/>
              </w:rPr>
              <w:t>NOTICES (CONT'D)</w:t>
            </w:r>
          </w:p>
        </w:tc>
      </w:tr>
      <w:tr w:rsidR="00E019E4" w:rsidRPr="00992DDB" w:rsidTr="00ED09AB">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8064A2" w:themeColor="accent4"/>
            </w:tcBorders>
            <w:shd w:val="clear" w:color="auto" w:fill="EAF1DD" w:themeFill="accent3" w:themeFillTint="33"/>
            <w:vAlign w:val="center"/>
          </w:tcPr>
          <w:p w:rsidR="00E019E4" w:rsidRPr="00992DDB" w:rsidRDefault="00E019E4" w:rsidP="00ED09AB">
            <w:pPr>
              <w:jc w:val="center"/>
              <w:rPr>
                <w:b/>
                <w:i/>
                <w:color w:val="403152" w:themeColor="accent4" w:themeShade="80"/>
              </w:rPr>
            </w:pPr>
            <w:r w:rsidRPr="00992DDB">
              <w:rPr>
                <w:b/>
                <w:i/>
                <w:color w:val="403152" w:themeColor="accent4" w:themeShade="80"/>
              </w:rPr>
              <w:lastRenderedPageBreak/>
              <w:t>Completed</w:t>
            </w:r>
          </w:p>
        </w:tc>
        <w:tc>
          <w:tcPr>
            <w:tcW w:w="1440" w:type="dxa"/>
            <w:tcBorders>
              <w:top w:val="single" w:sz="4" w:space="0" w:color="8064A2" w:themeColor="accent4"/>
            </w:tcBorders>
            <w:shd w:val="clear" w:color="auto" w:fill="F2DBDB" w:themeFill="accent2" w:themeFillTint="33"/>
            <w:vAlign w:val="center"/>
          </w:tcPr>
          <w:p w:rsidR="00E019E4" w:rsidRPr="00992DDB" w:rsidRDefault="00E019E4" w:rsidP="00ED09AB">
            <w:pPr>
              <w:jc w:val="center"/>
              <w:rPr>
                <w:b/>
                <w:i/>
                <w:color w:val="403152" w:themeColor="accent4" w:themeShade="80"/>
              </w:rPr>
            </w:pPr>
            <w:r w:rsidRPr="00992DDB">
              <w:rPr>
                <w:b/>
                <w:i/>
                <w:color w:val="403152" w:themeColor="accent4" w:themeShade="80"/>
              </w:rPr>
              <w:t>To Be Completed</w:t>
            </w:r>
          </w:p>
        </w:tc>
        <w:tc>
          <w:tcPr>
            <w:tcW w:w="5850" w:type="dxa"/>
            <w:tcBorders>
              <w:top w:val="single" w:sz="4" w:space="0" w:color="8064A2" w:themeColor="accent4"/>
            </w:tcBorders>
            <w:shd w:val="clear" w:color="auto" w:fill="E5DFEC" w:themeFill="accent4" w:themeFillTint="33"/>
            <w:vAlign w:val="center"/>
          </w:tcPr>
          <w:p w:rsidR="00E019E4" w:rsidRPr="00992DDB" w:rsidRDefault="00E019E4" w:rsidP="00ED09AB">
            <w:pPr>
              <w:jc w:val="center"/>
              <w:rPr>
                <w:b/>
                <w:i/>
                <w:color w:val="403152" w:themeColor="accent4" w:themeShade="80"/>
              </w:rPr>
            </w:pPr>
            <w:r w:rsidRPr="00992DDB">
              <w:rPr>
                <w:b/>
                <w:i/>
                <w:color w:val="403152" w:themeColor="accent4" w:themeShade="80"/>
              </w:rPr>
              <w:t>Employer Action Items</w:t>
            </w:r>
          </w:p>
        </w:tc>
        <w:tc>
          <w:tcPr>
            <w:tcW w:w="5310" w:type="dxa"/>
            <w:tcBorders>
              <w:top w:val="single" w:sz="4" w:space="0" w:color="8064A2" w:themeColor="accent4"/>
            </w:tcBorders>
            <w:shd w:val="clear" w:color="auto" w:fill="E5DFEC" w:themeFill="accent4" w:themeFillTint="33"/>
            <w:vAlign w:val="center"/>
          </w:tcPr>
          <w:p w:rsidR="00E019E4" w:rsidRPr="00992DDB" w:rsidRDefault="00E019E4" w:rsidP="00ED09AB">
            <w:pPr>
              <w:jc w:val="center"/>
              <w:rPr>
                <w:b/>
                <w:i/>
                <w:color w:val="403152" w:themeColor="accent4" w:themeShade="80"/>
              </w:rPr>
            </w:pPr>
            <w:r w:rsidRPr="00992DDB">
              <w:rPr>
                <w:b/>
                <w:i/>
                <w:color w:val="403152" w:themeColor="accent4" w:themeShade="80"/>
              </w:rPr>
              <w:t>Deadlines/Tips</w:t>
            </w:r>
          </w:p>
        </w:tc>
      </w:tr>
      <w:tr w:rsidR="00840DBF" w:rsidRPr="00840DBF" w:rsidTr="00E05D34">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7E6907" w:rsidRDefault="00840DBF" w:rsidP="00840DBF">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7E6907" w:rsidRDefault="00840DBF" w:rsidP="00840DBF">
            <w:pPr>
              <w:jc w:val="center"/>
              <w:rPr>
                <w:sz w:val="40"/>
                <w:szCs w:val="40"/>
              </w:rPr>
            </w:pPr>
            <w:r w:rsidRPr="007E6907">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782FBD" w:rsidRDefault="00840DBF" w:rsidP="00DD41FE">
            <w:pPr>
              <w:spacing w:before="40" w:after="40"/>
              <w:contextualSpacing/>
              <w:rPr>
                <w:sz w:val="19"/>
                <w:szCs w:val="19"/>
              </w:rPr>
            </w:pPr>
            <w:r w:rsidRPr="001B0708">
              <w:rPr>
                <w:rFonts w:ascii="Calibri" w:eastAsia="Calibri" w:hAnsi="Calibri" w:cstheme="minorHAnsi"/>
                <w:b/>
                <w:color w:val="8064A2" w:themeColor="accent4"/>
                <w:sz w:val="21"/>
                <w:szCs w:val="21"/>
              </w:rPr>
              <w:t>Determine Summary of Benefits and Coverage (SBC) Distribution Requirements.</w:t>
            </w:r>
            <w:r w:rsidRPr="001B0708">
              <w:rPr>
                <w:rFonts w:ascii="Calibri" w:eastAsia="Calibri" w:hAnsi="Calibri" w:cstheme="minorHAnsi"/>
                <w:color w:val="8064A2" w:themeColor="accent4"/>
                <w:sz w:val="21"/>
                <w:szCs w:val="21"/>
              </w:rPr>
              <w:t xml:space="preserve"> </w:t>
            </w:r>
            <w:r w:rsidRPr="00840DBF">
              <w:rPr>
                <w:rFonts w:ascii="Calibri" w:eastAsia="Calibri" w:hAnsi="Calibri" w:cstheme="minorHAnsi"/>
                <w:color w:val="000000" w:themeColor="text1"/>
                <w:sz w:val="21"/>
                <w:szCs w:val="21"/>
              </w:rPr>
              <w:t xml:space="preserve">Confirm contractual arrangements with the carrier to </w:t>
            </w:r>
            <w:r w:rsidRPr="00840DBF">
              <w:rPr>
                <w:rFonts w:ascii="Calibri" w:eastAsia="Calibri" w:hAnsi="Calibri" w:cstheme="minorHAnsi"/>
                <w:b/>
                <w:sz w:val="21"/>
                <w:szCs w:val="21"/>
              </w:rPr>
              <w:t xml:space="preserve">prepare and provide </w:t>
            </w:r>
            <w:hyperlink r:id="rId17" w:history="1">
              <w:r w:rsidR="00F92AB6" w:rsidRPr="00743681">
                <w:rPr>
                  <w:rStyle w:val="Hyperlink"/>
                  <w:rFonts w:ascii="Calibri" w:eastAsia="Calibri" w:hAnsi="Calibri" w:cstheme="minorHAnsi"/>
                  <w:b/>
                  <w:color w:val="00B0F0"/>
                  <w:sz w:val="21"/>
                  <w:szCs w:val="21"/>
                </w:rPr>
                <w:t>the SBC</w:t>
              </w:r>
            </w:hyperlink>
            <w:r w:rsidRPr="00840DBF">
              <w:rPr>
                <w:rFonts w:ascii="Calibri" w:eastAsia="Calibri" w:hAnsi="Calibri" w:cstheme="minorHAnsi"/>
                <w:color w:val="000000" w:themeColor="text1"/>
                <w:sz w:val="21"/>
                <w:szCs w:val="21"/>
              </w:rPr>
              <w:t>.</w:t>
            </w:r>
            <w:r w:rsidR="009022BB">
              <w:rPr>
                <w:sz w:val="21"/>
                <w:szCs w:val="21"/>
              </w:rPr>
              <w:t xml:space="preserve"> </w:t>
            </w:r>
            <w:r w:rsidRPr="00840DBF">
              <w:rPr>
                <w:rFonts w:ascii="Calibri" w:eastAsia="Calibri" w:hAnsi="Calibri" w:cstheme="minorHAnsi"/>
                <w:color w:val="000000" w:themeColor="text1"/>
                <w:sz w:val="21"/>
                <w:szCs w:val="21"/>
              </w:rPr>
              <w:t>If the carrier d</w:t>
            </w:r>
            <w:r w:rsidR="00336F2E">
              <w:rPr>
                <w:rFonts w:ascii="Calibri" w:eastAsia="Calibri" w:hAnsi="Calibri" w:cstheme="minorHAnsi"/>
                <w:color w:val="000000" w:themeColor="text1"/>
                <w:sz w:val="21"/>
                <w:szCs w:val="21"/>
              </w:rPr>
              <w:t>oes</w:t>
            </w:r>
            <w:r w:rsidRPr="00840DBF">
              <w:rPr>
                <w:rFonts w:ascii="Calibri" w:eastAsia="Calibri" w:hAnsi="Calibri" w:cstheme="minorHAnsi"/>
                <w:color w:val="000000" w:themeColor="text1"/>
                <w:sz w:val="21"/>
                <w:szCs w:val="21"/>
              </w:rPr>
              <w:t xml:space="preserve"> not assume responsibility, the employer should provide this notice (without charge) to </w:t>
            </w:r>
            <w:r w:rsidRPr="00840DBF">
              <w:rPr>
                <w:rFonts w:ascii="Calibri" w:eastAsia="Calibri" w:hAnsi="Calibri" w:cstheme="minorHAnsi"/>
                <w:color w:val="000000" w:themeColor="text1"/>
                <w:spacing w:val="-4"/>
                <w:sz w:val="21"/>
                <w:szCs w:val="21"/>
              </w:rPr>
              <w:t>employees and beneficiaries.</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DD41FE" w:rsidRDefault="00840DBF" w:rsidP="00DD41FE">
            <w:pPr>
              <w:spacing w:before="80" w:after="80"/>
              <w:ind w:hanging="14"/>
              <w:rPr>
                <w:rFonts w:eastAsia="Times New Roman" w:cstheme="minorHAnsi"/>
                <w:color w:val="403152" w:themeColor="accent4" w:themeShade="80"/>
                <w:sz w:val="19"/>
                <w:szCs w:val="19"/>
              </w:rPr>
            </w:pPr>
            <w:r w:rsidRPr="001B0708">
              <w:rPr>
                <w:rFonts w:eastAsia="Times New Roman" w:cstheme="minorHAnsi"/>
                <w:color w:val="403152" w:themeColor="accent4" w:themeShade="80"/>
                <w:sz w:val="19"/>
                <w:szCs w:val="19"/>
              </w:rPr>
              <w:t>Must be provided at specified times during the enrollment process and upon a participant or beneficiary's request, generally as follows:</w:t>
            </w:r>
          </w:p>
          <w:p w:rsidR="00840DBF" w:rsidRPr="001B0708" w:rsidRDefault="00840DBF" w:rsidP="00DD41FE">
            <w:pPr>
              <w:numPr>
                <w:ilvl w:val="0"/>
                <w:numId w:val="1"/>
              </w:numPr>
              <w:autoSpaceDE w:val="0"/>
              <w:autoSpaceDN w:val="0"/>
              <w:adjustRightInd w:val="0"/>
              <w:spacing w:before="80" w:after="80"/>
              <w:ind w:left="158" w:right="-115" w:hanging="158"/>
              <w:contextualSpacing/>
              <w:rPr>
                <w:rFonts w:ascii="Calibri" w:eastAsia="Calibri" w:hAnsi="Calibri" w:cs="Calibri"/>
                <w:color w:val="403152" w:themeColor="accent4" w:themeShade="80"/>
                <w:sz w:val="19"/>
                <w:szCs w:val="19"/>
              </w:rPr>
            </w:pPr>
            <w:r w:rsidRPr="001B0708">
              <w:rPr>
                <w:rFonts w:ascii="Calibri" w:eastAsia="Calibri" w:hAnsi="Calibri" w:cs="Calibri"/>
                <w:b/>
                <w:color w:val="403152" w:themeColor="accent4" w:themeShade="80"/>
                <w:sz w:val="19"/>
                <w:szCs w:val="19"/>
              </w:rPr>
              <w:t>Prior to initial enrollment</w:t>
            </w:r>
            <w:r w:rsidRPr="001B0708">
              <w:rPr>
                <w:rFonts w:ascii="Calibri" w:eastAsia="Calibri" w:hAnsi="Calibri" w:cs="Calibri"/>
                <w:color w:val="403152" w:themeColor="accent4" w:themeShade="80"/>
                <w:sz w:val="19"/>
                <w:szCs w:val="19"/>
              </w:rPr>
              <w:t xml:space="preserve"> in the plan;</w:t>
            </w:r>
          </w:p>
          <w:p w:rsidR="00840DBF" w:rsidRPr="001B0708" w:rsidRDefault="00840DBF" w:rsidP="00DD41FE">
            <w:pPr>
              <w:numPr>
                <w:ilvl w:val="0"/>
                <w:numId w:val="1"/>
              </w:numPr>
              <w:autoSpaceDE w:val="0"/>
              <w:autoSpaceDN w:val="0"/>
              <w:adjustRightInd w:val="0"/>
              <w:spacing w:before="80" w:after="80"/>
              <w:ind w:left="162" w:right="-108" w:hanging="162"/>
              <w:contextualSpacing/>
              <w:rPr>
                <w:rFonts w:ascii="Calibri" w:eastAsia="Calibri" w:hAnsi="Calibri" w:cs="Calibri"/>
                <w:color w:val="403152" w:themeColor="accent4" w:themeShade="80"/>
                <w:sz w:val="19"/>
                <w:szCs w:val="19"/>
              </w:rPr>
            </w:pPr>
            <w:r w:rsidRPr="001B0708">
              <w:rPr>
                <w:rFonts w:ascii="Calibri" w:eastAsia="Calibri" w:hAnsi="Calibri" w:cs="Calibri"/>
                <w:color w:val="403152" w:themeColor="accent4" w:themeShade="80"/>
                <w:sz w:val="19"/>
                <w:szCs w:val="19"/>
              </w:rPr>
              <w:t xml:space="preserve">Upon </w:t>
            </w:r>
            <w:r w:rsidRPr="001B0708">
              <w:rPr>
                <w:rFonts w:ascii="Calibri" w:eastAsia="Calibri" w:hAnsi="Calibri" w:cs="Calibri"/>
                <w:b/>
                <w:color w:val="403152" w:themeColor="accent4" w:themeShade="80"/>
                <w:sz w:val="19"/>
                <w:szCs w:val="19"/>
              </w:rPr>
              <w:t>renewal</w:t>
            </w:r>
            <w:r w:rsidRPr="001B0708">
              <w:rPr>
                <w:rFonts w:ascii="Calibri" w:eastAsia="Calibri" w:hAnsi="Calibri" w:cs="Calibri"/>
                <w:color w:val="403152" w:themeColor="accent4" w:themeShade="80"/>
                <w:sz w:val="19"/>
                <w:szCs w:val="19"/>
              </w:rPr>
              <w:t xml:space="preserve"> of plan coverage;</w:t>
            </w:r>
          </w:p>
          <w:p w:rsidR="00840DBF" w:rsidRPr="001B0708" w:rsidRDefault="00840DBF" w:rsidP="00DD41FE">
            <w:pPr>
              <w:numPr>
                <w:ilvl w:val="0"/>
                <w:numId w:val="1"/>
              </w:numPr>
              <w:autoSpaceDE w:val="0"/>
              <w:autoSpaceDN w:val="0"/>
              <w:adjustRightInd w:val="0"/>
              <w:spacing w:before="80" w:after="80"/>
              <w:ind w:left="162" w:right="-108" w:hanging="162"/>
              <w:contextualSpacing/>
              <w:rPr>
                <w:rFonts w:ascii="Calibri" w:eastAsia="Calibri" w:hAnsi="Calibri" w:cs="Calibri"/>
                <w:color w:val="403152" w:themeColor="accent4" w:themeShade="80"/>
                <w:sz w:val="19"/>
                <w:szCs w:val="19"/>
              </w:rPr>
            </w:pPr>
            <w:r w:rsidRPr="001B0708">
              <w:rPr>
                <w:rFonts w:ascii="Calibri" w:eastAsia="Calibri" w:hAnsi="Calibri" w:cs="Calibri"/>
                <w:b/>
                <w:color w:val="403152" w:themeColor="accent4" w:themeShade="80"/>
                <w:sz w:val="19"/>
                <w:szCs w:val="19"/>
              </w:rPr>
              <w:t>Within 90 days</w:t>
            </w:r>
            <w:r w:rsidRPr="001B0708">
              <w:rPr>
                <w:rFonts w:ascii="Calibri" w:eastAsia="Calibri" w:hAnsi="Calibri" w:cs="Calibri"/>
                <w:color w:val="403152" w:themeColor="accent4" w:themeShade="80"/>
                <w:sz w:val="19"/>
                <w:szCs w:val="19"/>
              </w:rPr>
              <w:t xml:space="preserve"> of special enrollment; and</w:t>
            </w:r>
          </w:p>
          <w:p w:rsidR="00840DBF" w:rsidRPr="001B0708" w:rsidRDefault="00840DBF" w:rsidP="00DD41FE">
            <w:pPr>
              <w:numPr>
                <w:ilvl w:val="0"/>
                <w:numId w:val="1"/>
              </w:numPr>
              <w:autoSpaceDE w:val="0"/>
              <w:autoSpaceDN w:val="0"/>
              <w:adjustRightInd w:val="0"/>
              <w:spacing w:before="80" w:after="80"/>
              <w:ind w:left="162" w:right="-108" w:hanging="162"/>
              <w:contextualSpacing/>
              <w:rPr>
                <w:rFonts w:ascii="Calibri" w:eastAsia="Calibri" w:hAnsi="Calibri" w:cs="Calibri"/>
                <w:color w:val="403152" w:themeColor="accent4" w:themeShade="80"/>
                <w:sz w:val="19"/>
                <w:szCs w:val="19"/>
              </w:rPr>
            </w:pPr>
            <w:r w:rsidRPr="001B0708">
              <w:rPr>
                <w:rFonts w:ascii="Calibri" w:eastAsia="Calibri" w:hAnsi="Calibri" w:cs="Calibri"/>
                <w:b/>
                <w:color w:val="403152" w:themeColor="accent4" w:themeShade="80"/>
                <w:sz w:val="19"/>
                <w:szCs w:val="19"/>
              </w:rPr>
              <w:t>Within 7 business days</w:t>
            </w:r>
            <w:r w:rsidRPr="001B0708">
              <w:rPr>
                <w:rFonts w:ascii="Calibri" w:eastAsia="Calibri" w:hAnsi="Calibri" w:cs="Calibri"/>
                <w:color w:val="403152" w:themeColor="accent4" w:themeShade="80"/>
                <w:sz w:val="19"/>
                <w:szCs w:val="19"/>
              </w:rPr>
              <w:t xml:space="preserve"> following receipt of a request</w:t>
            </w:r>
            <w:r w:rsidR="00F03242">
              <w:rPr>
                <w:rFonts w:ascii="Calibri" w:eastAsia="Calibri" w:hAnsi="Calibri" w:cs="Calibri"/>
                <w:color w:val="403152" w:themeColor="accent4" w:themeShade="80"/>
                <w:sz w:val="19"/>
                <w:szCs w:val="19"/>
              </w:rPr>
              <w:t>.</w:t>
            </w:r>
          </w:p>
          <w:p w:rsidR="00840DBF" w:rsidRPr="00840DBF" w:rsidRDefault="00840DBF" w:rsidP="00DD41FE">
            <w:pPr>
              <w:spacing w:before="80" w:after="80"/>
              <w:contextualSpacing/>
              <w:rPr>
                <w:rFonts w:ascii="Calibri" w:eastAsia="Calibri" w:hAnsi="Calibri" w:cstheme="minorHAnsi"/>
                <w:b/>
                <w:i/>
                <w:color w:val="215868" w:themeColor="accent5" w:themeShade="80"/>
                <w:sz w:val="19"/>
                <w:szCs w:val="19"/>
                <w:vertAlign w:val="superscript"/>
              </w:rPr>
            </w:pPr>
          </w:p>
        </w:tc>
      </w:tr>
      <w:tr w:rsidR="00840DBF" w:rsidRPr="00840DBF" w:rsidTr="00E019E4">
        <w:tc>
          <w:tcPr>
            <w:tcW w:w="1260" w:type="dxa"/>
            <w:tcBorders>
              <w:top w:val="single" w:sz="4" w:space="0" w:color="auto"/>
              <w:left w:val="single" w:sz="4" w:space="0" w:color="auto"/>
              <w:bottom w:val="single" w:sz="4" w:space="0" w:color="9BBB59" w:themeColor="accent3"/>
              <w:right w:val="single" w:sz="4" w:space="0" w:color="auto"/>
            </w:tcBorders>
            <w:shd w:val="clear" w:color="auto" w:fill="EAF1DD" w:themeFill="accent3" w:themeFillTint="33"/>
            <w:vAlign w:val="center"/>
          </w:tcPr>
          <w:p w:rsidR="00840DBF" w:rsidRPr="00840DBF" w:rsidRDefault="00840DBF" w:rsidP="00840DBF">
            <w:pPr>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9BBB59" w:themeColor="accent3"/>
              <w:right w:val="single" w:sz="4" w:space="0" w:color="auto"/>
            </w:tcBorders>
            <w:shd w:val="clear" w:color="auto" w:fill="F2DBDB" w:themeFill="accent2" w:themeFillTint="33"/>
            <w:vAlign w:val="center"/>
          </w:tcPr>
          <w:p w:rsidR="00840DBF" w:rsidRPr="00840DBF" w:rsidRDefault="00840DBF" w:rsidP="00840DBF">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9BBB59" w:themeColor="accent3"/>
              <w:right w:val="single" w:sz="4" w:space="0" w:color="auto"/>
            </w:tcBorders>
            <w:shd w:val="clear" w:color="auto" w:fill="FFFFFF" w:themeFill="background1"/>
            <w:vAlign w:val="center"/>
          </w:tcPr>
          <w:p w:rsidR="00840DBF" w:rsidRPr="00840DBF" w:rsidRDefault="00840DBF" w:rsidP="00DD41FE">
            <w:pPr>
              <w:spacing w:before="40" w:after="40"/>
              <w:contextualSpacing/>
              <w:rPr>
                <w:rFonts w:ascii="Calibri" w:eastAsia="Calibri" w:hAnsi="Calibri" w:cstheme="minorHAnsi"/>
                <w:b/>
                <w:i/>
                <w:color w:val="000000" w:themeColor="text1"/>
                <w:sz w:val="21"/>
                <w:szCs w:val="21"/>
              </w:rPr>
            </w:pPr>
            <w:r w:rsidRPr="001B0708">
              <w:rPr>
                <w:rFonts w:cstheme="minorHAnsi"/>
                <w:b/>
                <w:color w:val="8064A2" w:themeColor="accent4"/>
                <w:sz w:val="21"/>
                <w:szCs w:val="21"/>
              </w:rPr>
              <w:t>Distr</w:t>
            </w:r>
            <w:r w:rsidR="003B34ED">
              <w:rPr>
                <w:rFonts w:cstheme="minorHAnsi"/>
                <w:b/>
                <w:color w:val="8064A2" w:themeColor="accent4"/>
                <w:sz w:val="21"/>
                <w:szCs w:val="21"/>
              </w:rPr>
              <w:t>ibute Notices of Modification (If A</w:t>
            </w:r>
            <w:r w:rsidRPr="001B0708">
              <w:rPr>
                <w:rFonts w:cstheme="minorHAnsi"/>
                <w:b/>
                <w:color w:val="8064A2" w:themeColor="accent4"/>
                <w:sz w:val="21"/>
                <w:szCs w:val="21"/>
              </w:rPr>
              <w:t>pplicable).</w:t>
            </w:r>
            <w:r w:rsidRPr="001B0708">
              <w:rPr>
                <w:rFonts w:cstheme="minorHAnsi"/>
                <w:color w:val="8064A2" w:themeColor="accent4"/>
                <w:sz w:val="21"/>
                <w:szCs w:val="21"/>
              </w:rPr>
              <w:t xml:space="preserve"> </w:t>
            </w:r>
            <w:r w:rsidRPr="00840DBF">
              <w:rPr>
                <w:rFonts w:cstheme="minorHAnsi"/>
                <w:color w:val="000000" w:themeColor="text1"/>
                <w:sz w:val="21"/>
                <w:szCs w:val="21"/>
              </w:rPr>
              <w:t xml:space="preserve">Ensure that enrollees are provided with </w:t>
            </w:r>
            <w:r w:rsidRPr="00840DBF">
              <w:rPr>
                <w:rFonts w:cstheme="minorHAnsi"/>
                <w:b/>
                <w:color w:val="000000" w:themeColor="text1"/>
                <w:sz w:val="21"/>
                <w:szCs w:val="21"/>
              </w:rPr>
              <w:t xml:space="preserve">written </w:t>
            </w:r>
            <w:r w:rsidRPr="00840DBF">
              <w:rPr>
                <w:rFonts w:cstheme="minorHAnsi"/>
                <w:b/>
                <w:sz w:val="21"/>
                <w:szCs w:val="21"/>
              </w:rPr>
              <w:t>notice of any material modification</w:t>
            </w:r>
            <w:r w:rsidRPr="00840DBF">
              <w:rPr>
                <w:rFonts w:cstheme="minorHAnsi"/>
                <w:sz w:val="21"/>
                <w:szCs w:val="21"/>
              </w:rPr>
              <w:t xml:space="preserve"> </w:t>
            </w:r>
            <w:r w:rsidR="00234B39">
              <w:rPr>
                <w:rFonts w:cstheme="minorHAnsi"/>
                <w:color w:val="000000" w:themeColor="text1"/>
                <w:sz w:val="21"/>
                <w:szCs w:val="21"/>
              </w:rPr>
              <w:t>affecting</w:t>
            </w:r>
            <w:r w:rsidRPr="00840DBF">
              <w:rPr>
                <w:rFonts w:cstheme="minorHAnsi"/>
                <w:color w:val="000000" w:themeColor="text1"/>
                <w:sz w:val="21"/>
                <w:szCs w:val="21"/>
              </w:rPr>
              <w:t xml:space="preserve"> the </w:t>
            </w:r>
            <w:r w:rsidRPr="00840DBF">
              <w:rPr>
                <w:rFonts w:cstheme="minorHAnsi"/>
                <w:color w:val="000000" w:themeColor="text1"/>
                <w:spacing w:val="-2"/>
                <w:sz w:val="21"/>
                <w:szCs w:val="21"/>
              </w:rPr>
              <w:t>content of the SBC (and that occurs other than in connection with coverage renewal or reissuance).</w:t>
            </w:r>
            <w:r w:rsidRPr="00840DBF">
              <w:rPr>
                <w:rFonts w:cstheme="minorHAnsi"/>
                <w:color w:val="000000" w:themeColor="text1"/>
                <w:sz w:val="21"/>
                <w:szCs w:val="21"/>
              </w:rPr>
              <w:t xml:space="preserve"> </w:t>
            </w:r>
          </w:p>
        </w:tc>
        <w:tc>
          <w:tcPr>
            <w:tcW w:w="5310" w:type="dxa"/>
            <w:tcBorders>
              <w:top w:val="single" w:sz="4" w:space="0" w:color="auto"/>
              <w:left w:val="single" w:sz="4" w:space="0" w:color="auto"/>
              <w:bottom w:val="single" w:sz="4" w:space="0" w:color="9BBB59" w:themeColor="accent3"/>
              <w:right w:val="single" w:sz="4" w:space="0" w:color="auto"/>
            </w:tcBorders>
            <w:shd w:val="clear" w:color="auto" w:fill="FFFFFF" w:themeFill="background1"/>
            <w:vAlign w:val="center"/>
          </w:tcPr>
          <w:p w:rsidR="00840DBF" w:rsidRPr="00840DBF" w:rsidRDefault="00EA431F" w:rsidP="001D50A7">
            <w:pPr>
              <w:rPr>
                <w:rFonts w:cstheme="minorHAnsi"/>
                <w:color w:val="215868" w:themeColor="accent5" w:themeShade="80"/>
                <w:sz w:val="19"/>
                <w:szCs w:val="19"/>
              </w:rPr>
            </w:pPr>
            <w:r>
              <w:rPr>
                <w:rFonts w:cstheme="minorHAnsi"/>
                <w:color w:val="403152" w:themeColor="accent4" w:themeShade="80"/>
                <w:sz w:val="19"/>
                <w:szCs w:val="19"/>
              </w:rPr>
              <w:t>At least</w:t>
            </w:r>
            <w:r w:rsidR="00840DBF" w:rsidRPr="001B0708">
              <w:rPr>
                <w:rFonts w:cstheme="minorHAnsi"/>
                <w:color w:val="403152" w:themeColor="accent4" w:themeShade="80"/>
                <w:sz w:val="19"/>
                <w:szCs w:val="19"/>
              </w:rPr>
              <w:t xml:space="preserve"> </w:t>
            </w:r>
            <w:r w:rsidR="00840DBF" w:rsidRPr="001B0708">
              <w:rPr>
                <w:rFonts w:cstheme="minorHAnsi"/>
                <w:b/>
                <w:color w:val="403152" w:themeColor="accent4" w:themeShade="80"/>
                <w:sz w:val="19"/>
                <w:szCs w:val="19"/>
              </w:rPr>
              <w:t>60 days prior</w:t>
            </w:r>
            <w:r w:rsidR="00840DBF" w:rsidRPr="001B0708">
              <w:rPr>
                <w:rFonts w:cstheme="minorHAnsi"/>
                <w:color w:val="403152" w:themeColor="accent4" w:themeShade="80"/>
                <w:sz w:val="19"/>
                <w:szCs w:val="19"/>
              </w:rPr>
              <w:t xml:space="preserve"> to the effective date of the change.</w:t>
            </w:r>
          </w:p>
        </w:tc>
      </w:tr>
      <w:tr w:rsidR="00EA72E5" w:rsidRPr="00840DBF" w:rsidTr="00234B39">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A72E5" w:rsidRPr="00840DBF" w:rsidRDefault="00CD083C" w:rsidP="00840DBF">
            <w:pPr>
              <w:jc w:val="center"/>
              <w:rPr>
                <w:sz w:val="40"/>
                <w:szCs w:val="40"/>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A72E5" w:rsidRPr="00840DBF" w:rsidRDefault="00CD083C" w:rsidP="00840DBF">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72E5" w:rsidRPr="001B0708" w:rsidRDefault="00EA72E5" w:rsidP="00DD41FE">
            <w:pPr>
              <w:spacing w:before="40" w:after="40"/>
              <w:contextualSpacing/>
              <w:rPr>
                <w:rFonts w:cstheme="minorHAnsi"/>
                <w:b/>
                <w:color w:val="8064A2" w:themeColor="accent4"/>
                <w:sz w:val="21"/>
                <w:szCs w:val="21"/>
              </w:rPr>
            </w:pPr>
            <w:r w:rsidRPr="00EA72E5">
              <w:rPr>
                <w:rFonts w:cstheme="minorHAnsi"/>
                <w:b/>
                <w:color w:val="8064A2" w:themeColor="accent4"/>
                <w:sz w:val="21"/>
                <w:szCs w:val="21"/>
              </w:rPr>
              <w:t>Post Section 1557 Nondiscrimination Notice &amp; Taglines, If Applicable.</w:t>
            </w:r>
            <w:r w:rsidRPr="00EA72E5">
              <w:rPr>
                <w:rFonts w:cstheme="minorHAnsi"/>
                <w:color w:val="8064A2" w:themeColor="accent4"/>
                <w:sz w:val="21"/>
                <w:szCs w:val="21"/>
              </w:rPr>
              <w:t xml:space="preserve"> </w:t>
            </w:r>
            <w:r w:rsidRPr="005329DA">
              <w:rPr>
                <w:rFonts w:cstheme="minorHAnsi"/>
                <w:sz w:val="21"/>
                <w:szCs w:val="21"/>
              </w:rPr>
              <w:t xml:space="preserve">Entities administering any health program or activity </w:t>
            </w:r>
            <w:r w:rsidRPr="005329DA">
              <w:rPr>
                <w:rFonts w:cstheme="minorHAnsi"/>
                <w:bCs/>
                <w:sz w:val="21"/>
                <w:szCs w:val="21"/>
              </w:rPr>
              <w:t>that receives federal financial assistance (such as hospitals that accept Medicare or doctors who accept Medicaid)</w:t>
            </w:r>
            <w:r w:rsidRPr="005329DA">
              <w:rPr>
                <w:rFonts w:eastAsia="Times New Roman" w:cstheme="minorHAnsi"/>
                <w:sz w:val="21"/>
                <w:szCs w:val="21"/>
              </w:rPr>
              <w:t xml:space="preserve"> </w:t>
            </w:r>
            <w:hyperlink r:id="rId18" w:history="1">
              <w:r w:rsidRPr="005329DA">
                <w:rPr>
                  <w:rStyle w:val="Hyperlink"/>
                  <w:rFonts w:eastAsia="Times New Roman" w:cstheme="minorHAnsi"/>
                  <w:color w:val="00B0F0"/>
                  <w:sz w:val="21"/>
                  <w:szCs w:val="21"/>
                </w:rPr>
                <w:t>must inform individuals</w:t>
              </w:r>
            </w:hyperlink>
            <w:r w:rsidRPr="005329DA">
              <w:rPr>
                <w:rFonts w:eastAsia="Times New Roman" w:cstheme="minorHAnsi"/>
                <w:sz w:val="21"/>
                <w:szCs w:val="21"/>
              </w:rPr>
              <w:t xml:space="preserve"> of their civil rights under Section 1557 of the Affordable Care Act, which prohibits discrimination on the basis of race, color, national origin, sex, age, or disability.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72E5" w:rsidRPr="001D50A7" w:rsidRDefault="00EA72E5" w:rsidP="00DD41FE">
            <w:pPr>
              <w:spacing w:before="40" w:after="40"/>
              <w:rPr>
                <w:rFonts w:eastAsia="Times New Roman" w:cstheme="minorHAnsi"/>
                <w:bCs/>
                <w:color w:val="403152" w:themeColor="accent4" w:themeShade="80"/>
                <w:sz w:val="19"/>
                <w:szCs w:val="19"/>
              </w:rPr>
            </w:pPr>
            <w:r w:rsidRPr="00EA72E5">
              <w:rPr>
                <w:rFonts w:eastAsia="Times New Roman" w:cstheme="minorHAnsi"/>
                <w:bCs/>
                <w:color w:val="403152" w:themeColor="accent4" w:themeShade="80"/>
                <w:sz w:val="19"/>
                <w:szCs w:val="19"/>
              </w:rPr>
              <w:t>No</w:t>
            </w:r>
            <w:r w:rsidR="00234B39">
              <w:rPr>
                <w:rFonts w:eastAsia="Times New Roman" w:cstheme="minorHAnsi"/>
                <w:bCs/>
                <w:color w:val="403152" w:themeColor="accent4" w:themeShade="80"/>
                <w:sz w:val="19"/>
                <w:szCs w:val="19"/>
              </w:rPr>
              <w:t xml:space="preserve">ndiscrimination notices </w:t>
            </w:r>
            <w:r w:rsidRPr="00EA72E5">
              <w:rPr>
                <w:rFonts w:eastAsia="Times New Roman" w:cstheme="minorHAnsi"/>
                <w:bCs/>
                <w:color w:val="403152" w:themeColor="accent4" w:themeShade="80"/>
                <w:sz w:val="19"/>
                <w:szCs w:val="19"/>
              </w:rPr>
              <w:t xml:space="preserve">and taglines that alert individuals with limited English proficiency to the availability of language assistance services are generally required to be posted in: (1) </w:t>
            </w:r>
            <w:r w:rsidR="00EA431F">
              <w:rPr>
                <w:rFonts w:eastAsia="Times New Roman" w:cstheme="minorHAnsi"/>
                <w:color w:val="403152" w:themeColor="accent4" w:themeShade="80"/>
                <w:sz w:val="19"/>
                <w:szCs w:val="19"/>
              </w:rPr>
              <w:t>s</w:t>
            </w:r>
            <w:r w:rsidRPr="00EA72E5">
              <w:rPr>
                <w:rFonts w:eastAsia="Times New Roman" w:cstheme="minorHAnsi"/>
                <w:color w:val="403152" w:themeColor="accent4" w:themeShade="80"/>
                <w:sz w:val="19"/>
                <w:szCs w:val="19"/>
              </w:rPr>
              <w:t xml:space="preserve">ignificant publications and communications targeted to beneficiaries, enrollees, applicants, </w:t>
            </w:r>
            <w:r w:rsidR="00EA431F">
              <w:rPr>
                <w:rFonts w:eastAsia="Times New Roman" w:cstheme="minorHAnsi"/>
                <w:color w:val="403152" w:themeColor="accent4" w:themeShade="80"/>
                <w:sz w:val="19"/>
                <w:szCs w:val="19"/>
              </w:rPr>
              <w:t>and members of the public; (2) c</w:t>
            </w:r>
            <w:r w:rsidRPr="00EA72E5">
              <w:rPr>
                <w:rFonts w:eastAsia="Times New Roman" w:cstheme="minorHAnsi"/>
                <w:color w:val="403152" w:themeColor="accent4" w:themeShade="80"/>
                <w:sz w:val="19"/>
                <w:szCs w:val="19"/>
              </w:rPr>
              <w:t>onspicuous physical locations where a covered entity interacts with the public; and</w:t>
            </w:r>
            <w:r w:rsidRPr="00EA72E5">
              <w:rPr>
                <w:rFonts w:eastAsia="Times New Roman" w:cstheme="minorHAnsi"/>
                <w:bCs/>
                <w:color w:val="403152" w:themeColor="accent4" w:themeShade="80"/>
                <w:sz w:val="19"/>
                <w:szCs w:val="19"/>
              </w:rPr>
              <w:t xml:space="preserve"> (3) </w:t>
            </w:r>
            <w:r w:rsidR="00EA431F">
              <w:rPr>
                <w:rFonts w:eastAsia="Times New Roman" w:cstheme="minorHAnsi"/>
                <w:color w:val="403152" w:themeColor="accent4" w:themeShade="80"/>
                <w:sz w:val="19"/>
                <w:szCs w:val="19"/>
              </w:rPr>
              <w:t>a</w:t>
            </w:r>
            <w:r w:rsidRPr="00EA72E5">
              <w:rPr>
                <w:rFonts w:eastAsia="Times New Roman" w:cstheme="minorHAnsi"/>
                <w:color w:val="403152" w:themeColor="accent4" w:themeShade="80"/>
                <w:sz w:val="19"/>
                <w:szCs w:val="19"/>
              </w:rPr>
              <w:t xml:space="preserve"> conspicuous</w:t>
            </w:r>
            <w:r w:rsidR="00EA431F">
              <w:rPr>
                <w:rFonts w:eastAsia="Times New Roman" w:cstheme="minorHAnsi"/>
                <w:color w:val="403152" w:themeColor="accent4" w:themeShade="80"/>
                <w:sz w:val="19"/>
                <w:szCs w:val="19"/>
              </w:rPr>
              <w:t xml:space="preserve"> location on the covered entity's w</w:t>
            </w:r>
            <w:r w:rsidRPr="00EA72E5">
              <w:rPr>
                <w:rFonts w:eastAsia="Times New Roman" w:cstheme="minorHAnsi"/>
                <w:color w:val="403152" w:themeColor="accent4" w:themeShade="80"/>
                <w:sz w:val="19"/>
                <w:szCs w:val="19"/>
              </w:rPr>
              <w:t>ebsite, accessibl</w:t>
            </w:r>
            <w:r w:rsidR="00EA431F">
              <w:rPr>
                <w:rFonts w:eastAsia="Times New Roman" w:cstheme="minorHAnsi"/>
                <w:color w:val="403152" w:themeColor="accent4" w:themeShade="80"/>
                <w:sz w:val="19"/>
                <w:szCs w:val="19"/>
              </w:rPr>
              <w:t>e from the homepage</w:t>
            </w:r>
            <w:r w:rsidRPr="00EA72E5">
              <w:rPr>
                <w:rFonts w:eastAsia="Times New Roman" w:cstheme="minorHAnsi"/>
                <w:color w:val="403152" w:themeColor="accent4" w:themeShade="80"/>
                <w:sz w:val="19"/>
                <w:szCs w:val="19"/>
              </w:rPr>
              <w:t>.</w:t>
            </w:r>
            <w:r w:rsidR="001D50A7">
              <w:rPr>
                <w:rFonts w:eastAsia="Times New Roman" w:cstheme="minorHAnsi"/>
                <w:color w:val="403152" w:themeColor="accent4" w:themeShade="80"/>
                <w:sz w:val="19"/>
                <w:szCs w:val="19"/>
              </w:rPr>
              <w:t xml:space="preserve"> </w:t>
            </w:r>
            <w:r w:rsidR="00234B39">
              <w:rPr>
                <w:rFonts w:eastAsia="Times New Roman" w:cstheme="minorHAnsi"/>
                <w:color w:val="403152" w:themeColor="accent4" w:themeShade="80"/>
                <w:sz w:val="19"/>
                <w:szCs w:val="19"/>
              </w:rPr>
              <w:t>C</w:t>
            </w:r>
            <w:r w:rsidRPr="00EA72E5">
              <w:rPr>
                <w:rFonts w:eastAsia="Times New Roman" w:cstheme="minorHAnsi"/>
                <w:color w:val="403152" w:themeColor="accent4" w:themeShade="80"/>
                <w:sz w:val="19"/>
                <w:szCs w:val="19"/>
              </w:rPr>
              <w:t>ontent requirements are modified for small-sized significant communications (such as postcards).</w:t>
            </w:r>
          </w:p>
        </w:tc>
      </w:tr>
      <w:tr w:rsidR="00B2598B" w:rsidRPr="00840DBF" w:rsidTr="00E019E4">
        <w:tc>
          <w:tcPr>
            <w:tcW w:w="13860"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tcPr>
          <w:p w:rsidR="00B2598B" w:rsidRPr="00840DBF" w:rsidRDefault="00B2598B" w:rsidP="00E019E4">
            <w:pPr>
              <w:spacing w:before="40" w:after="40"/>
              <w:jc w:val="center"/>
              <w:rPr>
                <w:b/>
                <w:sz w:val="32"/>
                <w:szCs w:val="32"/>
              </w:rPr>
            </w:pPr>
            <w:r w:rsidRPr="001B0708">
              <w:rPr>
                <w:b/>
                <w:color w:val="FFFFFF" w:themeColor="background1"/>
                <w:sz w:val="32"/>
                <w:szCs w:val="32"/>
              </w:rPr>
              <w:t>FINANCIAL PROVISIONS</w:t>
            </w:r>
          </w:p>
        </w:tc>
      </w:tr>
      <w:tr w:rsidR="00E019E4" w:rsidRPr="00992DDB" w:rsidTr="00E019E4">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9BBB59" w:themeColor="accent3"/>
              <w:bottom w:val="single" w:sz="4" w:space="0" w:color="auto"/>
            </w:tcBorders>
            <w:shd w:val="clear" w:color="auto" w:fill="EAF1DD" w:themeFill="accent3" w:themeFillTint="33"/>
            <w:vAlign w:val="center"/>
          </w:tcPr>
          <w:p w:rsidR="007E6907" w:rsidRPr="007E6907" w:rsidRDefault="007E6907" w:rsidP="00ED09AB">
            <w:pPr>
              <w:jc w:val="center"/>
              <w:rPr>
                <w:b/>
                <w:i/>
                <w:color w:val="4F6228" w:themeColor="accent3" w:themeShade="80"/>
              </w:rPr>
            </w:pPr>
            <w:r w:rsidRPr="007E6907">
              <w:rPr>
                <w:b/>
                <w:i/>
                <w:color w:val="4F6228" w:themeColor="accent3" w:themeShade="80"/>
              </w:rPr>
              <w:t>Completed</w:t>
            </w:r>
          </w:p>
        </w:tc>
        <w:tc>
          <w:tcPr>
            <w:tcW w:w="1440" w:type="dxa"/>
            <w:tcBorders>
              <w:top w:val="single" w:sz="4" w:space="0" w:color="9BBB59" w:themeColor="accent3"/>
              <w:bottom w:val="single" w:sz="4" w:space="0" w:color="auto"/>
            </w:tcBorders>
            <w:shd w:val="clear" w:color="auto" w:fill="F2DBDB" w:themeFill="accent2" w:themeFillTint="33"/>
            <w:vAlign w:val="center"/>
          </w:tcPr>
          <w:p w:rsidR="007E6907" w:rsidRPr="007E6907" w:rsidRDefault="007E6907" w:rsidP="00ED09AB">
            <w:pPr>
              <w:jc w:val="center"/>
              <w:rPr>
                <w:b/>
                <w:i/>
                <w:color w:val="4F6228" w:themeColor="accent3" w:themeShade="80"/>
              </w:rPr>
            </w:pPr>
            <w:r w:rsidRPr="007E6907">
              <w:rPr>
                <w:b/>
                <w:i/>
                <w:color w:val="4F6228" w:themeColor="accent3" w:themeShade="80"/>
              </w:rPr>
              <w:t>To Be Completed</w:t>
            </w:r>
          </w:p>
        </w:tc>
        <w:tc>
          <w:tcPr>
            <w:tcW w:w="5850" w:type="dxa"/>
            <w:tcBorders>
              <w:top w:val="single" w:sz="4" w:space="0" w:color="9BBB59" w:themeColor="accent3"/>
              <w:bottom w:val="single" w:sz="4" w:space="0" w:color="auto"/>
            </w:tcBorders>
            <w:shd w:val="clear" w:color="auto" w:fill="EAF1DD" w:themeFill="accent3" w:themeFillTint="33"/>
            <w:vAlign w:val="center"/>
          </w:tcPr>
          <w:p w:rsidR="007E6907" w:rsidRPr="007E6907" w:rsidRDefault="007E6907" w:rsidP="00ED09AB">
            <w:pPr>
              <w:jc w:val="center"/>
              <w:rPr>
                <w:b/>
                <w:i/>
                <w:color w:val="4F6228" w:themeColor="accent3" w:themeShade="80"/>
              </w:rPr>
            </w:pPr>
            <w:r w:rsidRPr="007E6907">
              <w:rPr>
                <w:b/>
                <w:i/>
                <w:color w:val="4F6228" w:themeColor="accent3" w:themeShade="80"/>
              </w:rPr>
              <w:t>Employer Action Items</w:t>
            </w:r>
          </w:p>
        </w:tc>
        <w:tc>
          <w:tcPr>
            <w:tcW w:w="5310" w:type="dxa"/>
            <w:tcBorders>
              <w:top w:val="single" w:sz="4" w:space="0" w:color="9BBB59" w:themeColor="accent3"/>
              <w:bottom w:val="single" w:sz="4" w:space="0" w:color="auto"/>
            </w:tcBorders>
            <w:shd w:val="clear" w:color="auto" w:fill="EAF1DD" w:themeFill="accent3" w:themeFillTint="33"/>
            <w:vAlign w:val="center"/>
          </w:tcPr>
          <w:p w:rsidR="007E6907" w:rsidRPr="007E6907" w:rsidRDefault="007E6907" w:rsidP="00ED09AB">
            <w:pPr>
              <w:jc w:val="center"/>
              <w:rPr>
                <w:b/>
                <w:i/>
                <w:color w:val="4F6228" w:themeColor="accent3" w:themeShade="80"/>
              </w:rPr>
            </w:pPr>
            <w:r w:rsidRPr="007E6907">
              <w:rPr>
                <w:b/>
                <w:i/>
                <w:color w:val="4F6228" w:themeColor="accent3" w:themeShade="80"/>
              </w:rPr>
              <w:t>Deadlines/Tips</w:t>
            </w:r>
          </w:p>
        </w:tc>
      </w:tr>
      <w:tr w:rsidR="00840DBF" w:rsidRPr="00840DBF" w:rsidTr="00E019E4">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840DBF" w:rsidRDefault="00840DBF" w:rsidP="00EA72E5">
            <w:pPr>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840DBF" w:rsidRDefault="00840DBF" w:rsidP="00EA72E5">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32EF" w:rsidRPr="00EA72E5" w:rsidRDefault="00840DBF" w:rsidP="00EA72E5">
            <w:pPr>
              <w:spacing w:line="245" w:lineRule="auto"/>
              <w:contextualSpacing/>
              <w:rPr>
                <w:rFonts w:ascii="Calibri" w:eastAsia="Times New Roman" w:hAnsi="Calibri" w:cs="Times New Roman"/>
                <w:sz w:val="21"/>
                <w:szCs w:val="21"/>
              </w:rPr>
            </w:pPr>
            <w:r w:rsidRPr="001B0708">
              <w:rPr>
                <w:rFonts w:ascii="Calibri" w:eastAsia="Times New Roman" w:hAnsi="Calibri" w:cs="Times New Roman"/>
                <w:b/>
                <w:color w:val="9BBB59" w:themeColor="accent3"/>
                <w:sz w:val="21"/>
                <w:szCs w:val="21"/>
              </w:rPr>
              <w:t>Additional Medicare Tax.</w:t>
            </w:r>
            <w:r w:rsidRPr="001B0708">
              <w:rPr>
                <w:rFonts w:ascii="Calibri" w:eastAsia="Times New Roman" w:hAnsi="Calibri" w:cs="Times New Roman"/>
                <w:color w:val="9BBB59" w:themeColor="accent3"/>
                <w:sz w:val="21"/>
                <w:szCs w:val="21"/>
              </w:rPr>
              <w:t xml:space="preserve"> </w:t>
            </w:r>
            <w:r w:rsidRPr="00840DBF">
              <w:rPr>
                <w:rFonts w:ascii="Calibri" w:eastAsia="Times New Roman" w:hAnsi="Calibri" w:cs="Times New Roman"/>
                <w:sz w:val="21"/>
                <w:szCs w:val="21"/>
              </w:rPr>
              <w:t xml:space="preserve">Withhold </w:t>
            </w:r>
            <w:hyperlink r:id="rId19" w:history="1">
              <w:r w:rsidRPr="009B0A29">
                <w:rPr>
                  <w:rFonts w:ascii="Calibri" w:eastAsia="Times New Roman" w:hAnsi="Calibri" w:cs="Times New Roman"/>
                  <w:color w:val="00B0F0"/>
                  <w:sz w:val="21"/>
                  <w:szCs w:val="21"/>
                  <w:u w:val="single"/>
                </w:rPr>
                <w:t>Additional Medicare Tax</w:t>
              </w:r>
            </w:hyperlink>
            <w:r w:rsidRPr="00840DBF">
              <w:rPr>
                <w:rFonts w:ascii="Calibri" w:eastAsia="Times New Roman" w:hAnsi="Calibri" w:cs="Times New Roman"/>
                <w:color w:val="9BBB59" w:themeColor="accent3"/>
                <w:sz w:val="21"/>
                <w:szCs w:val="21"/>
              </w:rPr>
              <w:t xml:space="preserve"> </w:t>
            </w:r>
            <w:r w:rsidRPr="00840DBF">
              <w:rPr>
                <w:rFonts w:ascii="Calibri" w:eastAsia="Times New Roman" w:hAnsi="Calibri" w:cs="Times New Roman"/>
                <w:sz w:val="21"/>
                <w:szCs w:val="21"/>
              </w:rPr>
              <w:t>(0.9%) on wages or compensation paid to an employee in excess of $200,000 in a calendar year.</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Default="00840DBF" w:rsidP="00EA72E5">
            <w:pPr>
              <w:spacing w:line="245" w:lineRule="auto"/>
              <w:rPr>
                <w:rFonts w:cstheme="minorHAnsi"/>
                <w:color w:val="4F6228" w:themeColor="accent3" w:themeShade="80"/>
                <w:sz w:val="19"/>
                <w:szCs w:val="19"/>
              </w:rPr>
            </w:pPr>
            <w:r w:rsidRPr="001B0708">
              <w:rPr>
                <w:rFonts w:cstheme="minorHAnsi"/>
                <w:color w:val="4F6228" w:themeColor="accent3" w:themeShade="80"/>
                <w:sz w:val="19"/>
                <w:szCs w:val="19"/>
              </w:rPr>
              <w:t>The tax went into effect in 2013 and applies to certain wages, compensation, and self-employment income received in taxable years beginning after December 31, 2012.</w:t>
            </w:r>
          </w:p>
          <w:p w:rsidR="007C32EF" w:rsidRPr="007C32EF" w:rsidRDefault="007C32EF" w:rsidP="00EA72E5">
            <w:pPr>
              <w:spacing w:line="245" w:lineRule="auto"/>
              <w:rPr>
                <w:rFonts w:cstheme="minorHAnsi"/>
                <w:color w:val="4F6228" w:themeColor="accent3" w:themeShade="80"/>
                <w:sz w:val="6"/>
                <w:szCs w:val="6"/>
              </w:rPr>
            </w:pPr>
          </w:p>
        </w:tc>
      </w:tr>
      <w:tr w:rsidR="00840DBF" w:rsidRPr="00840DBF" w:rsidTr="00EA72E5">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40DBF" w:rsidRPr="00840DBF" w:rsidRDefault="00840DBF" w:rsidP="00840DBF">
            <w:pPr>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840DBF" w:rsidRPr="00840DBF" w:rsidRDefault="00840DBF" w:rsidP="00840DBF">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840DBF" w:rsidRDefault="00840DBF" w:rsidP="00EA72E5">
            <w:pPr>
              <w:spacing w:before="20" w:afterLines="20" w:after="48" w:line="245" w:lineRule="auto"/>
              <w:contextualSpacing/>
              <w:rPr>
                <w:rFonts w:ascii="Calibri" w:eastAsia="Calibri" w:hAnsi="Calibri" w:cs="Times New Roman"/>
                <w:sz w:val="21"/>
                <w:szCs w:val="21"/>
              </w:rPr>
            </w:pPr>
            <w:r w:rsidRPr="001B0708">
              <w:rPr>
                <w:rFonts w:ascii="Calibri" w:eastAsia="Calibri" w:hAnsi="Calibri" w:cstheme="minorHAnsi"/>
                <w:b/>
                <w:color w:val="9BBB59" w:themeColor="accent3"/>
                <w:sz w:val="21"/>
                <w:szCs w:val="21"/>
              </w:rPr>
              <w:t>Medical Loss Ratio Rebates.</w:t>
            </w:r>
            <w:r w:rsidRPr="001B0708">
              <w:rPr>
                <w:rFonts w:ascii="Calibri" w:eastAsia="Calibri" w:hAnsi="Calibri" w:cstheme="minorHAnsi"/>
                <w:color w:val="9BBB59" w:themeColor="accent3"/>
                <w:sz w:val="21"/>
                <w:szCs w:val="21"/>
              </w:rPr>
              <w:t xml:space="preserve"> </w:t>
            </w:r>
            <w:r w:rsidRPr="00840DBF">
              <w:rPr>
                <w:rFonts w:ascii="Calibri" w:eastAsia="Calibri" w:hAnsi="Calibri" w:cstheme="minorHAnsi"/>
                <w:color w:val="000000" w:themeColor="text1"/>
                <w:sz w:val="21"/>
                <w:szCs w:val="21"/>
              </w:rPr>
              <w:t>Distribute</w:t>
            </w:r>
            <w:r w:rsidR="00B03DCB">
              <w:rPr>
                <w:rFonts w:ascii="Calibri" w:eastAsia="Calibri" w:hAnsi="Calibri" w:cstheme="minorHAnsi"/>
                <w:color w:val="000000" w:themeColor="text1"/>
                <w:sz w:val="21"/>
                <w:szCs w:val="21"/>
              </w:rPr>
              <w:t xml:space="preserve"> any</w:t>
            </w:r>
            <w:r w:rsidRPr="00840DBF">
              <w:rPr>
                <w:rFonts w:ascii="Calibri" w:eastAsia="Calibri" w:hAnsi="Calibri" w:cstheme="minorHAnsi"/>
                <w:color w:val="000000" w:themeColor="text1"/>
                <w:sz w:val="21"/>
                <w:szCs w:val="21"/>
              </w:rPr>
              <w:t xml:space="preserve"> </w:t>
            </w:r>
            <w:hyperlink r:id="rId20" w:history="1">
              <w:r w:rsidR="00B03DCB">
                <w:rPr>
                  <w:rFonts w:ascii="Calibri" w:eastAsia="Calibri" w:hAnsi="Calibri" w:cstheme="minorHAnsi"/>
                  <w:color w:val="00B0F0"/>
                  <w:sz w:val="21"/>
                  <w:szCs w:val="21"/>
                  <w:u w:val="single"/>
                </w:rPr>
                <w:t>m</w:t>
              </w:r>
              <w:r w:rsidRPr="009B0A29">
                <w:rPr>
                  <w:rFonts w:ascii="Calibri" w:eastAsia="Calibri" w:hAnsi="Calibri" w:cstheme="minorHAnsi"/>
                  <w:color w:val="00B0F0"/>
                  <w:sz w:val="21"/>
                  <w:szCs w:val="21"/>
                  <w:u w:val="single"/>
                </w:rPr>
                <w:t xml:space="preserve">edical </w:t>
              </w:r>
              <w:r w:rsidR="00B03DCB">
                <w:rPr>
                  <w:rFonts w:ascii="Calibri" w:eastAsia="Calibri" w:hAnsi="Calibri" w:cstheme="minorHAnsi"/>
                  <w:color w:val="00B0F0"/>
                  <w:sz w:val="21"/>
                  <w:szCs w:val="21"/>
                  <w:u w:val="single"/>
                </w:rPr>
                <w:t>l</w:t>
              </w:r>
              <w:r w:rsidRPr="009B0A29">
                <w:rPr>
                  <w:rFonts w:ascii="Calibri" w:eastAsia="Calibri" w:hAnsi="Calibri" w:cstheme="minorHAnsi"/>
                  <w:color w:val="00B0F0"/>
                  <w:sz w:val="21"/>
                  <w:szCs w:val="21"/>
                  <w:u w:val="single"/>
                </w:rPr>
                <w:t xml:space="preserve">oss </w:t>
              </w:r>
              <w:r w:rsidR="00B03DCB">
                <w:rPr>
                  <w:rFonts w:ascii="Calibri" w:eastAsia="Calibri" w:hAnsi="Calibri" w:cstheme="minorHAnsi"/>
                  <w:color w:val="00B0F0"/>
                  <w:sz w:val="21"/>
                  <w:szCs w:val="21"/>
                  <w:u w:val="single"/>
                </w:rPr>
                <w:t>r</w:t>
              </w:r>
              <w:r w:rsidRPr="009B0A29">
                <w:rPr>
                  <w:rFonts w:ascii="Calibri" w:eastAsia="Calibri" w:hAnsi="Calibri" w:cstheme="minorHAnsi"/>
                  <w:color w:val="00B0F0"/>
                  <w:sz w:val="21"/>
                  <w:szCs w:val="21"/>
                  <w:u w:val="single"/>
                </w:rPr>
                <w:t>atio rebates</w:t>
              </w:r>
            </w:hyperlink>
            <w:r w:rsidRPr="00840DBF">
              <w:rPr>
                <w:rFonts w:ascii="Calibri" w:eastAsia="Calibri" w:hAnsi="Calibri" w:cstheme="minorHAnsi"/>
                <w:color w:val="000000" w:themeColor="text1"/>
                <w:sz w:val="21"/>
                <w:szCs w:val="21"/>
              </w:rPr>
              <w:t xml:space="preserve"> received from insurance companies to eligible plan enrollees as appropriate.</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0DBF" w:rsidRPr="001B0708" w:rsidRDefault="00840DBF" w:rsidP="00EA72E5">
            <w:pPr>
              <w:spacing w:before="20" w:afterLines="20" w:after="48" w:line="245" w:lineRule="auto"/>
              <w:rPr>
                <w:rFonts w:cstheme="minorHAnsi"/>
                <w:color w:val="4F6228" w:themeColor="accent3" w:themeShade="80"/>
                <w:sz w:val="19"/>
                <w:szCs w:val="19"/>
              </w:rPr>
            </w:pPr>
            <w:r w:rsidRPr="001B0708">
              <w:rPr>
                <w:rFonts w:ascii="Calibri" w:eastAsia="Calibri" w:hAnsi="Calibri" w:cstheme="minorHAnsi"/>
                <w:color w:val="4F6228" w:themeColor="accent3" w:themeShade="80"/>
                <w:sz w:val="19"/>
                <w:szCs w:val="19"/>
              </w:rPr>
              <w:t xml:space="preserve">Rebates are due to employer-policyholders by </w:t>
            </w:r>
            <w:r w:rsidRPr="001B0708">
              <w:rPr>
                <w:rFonts w:ascii="Calibri" w:eastAsia="Calibri" w:hAnsi="Calibri" w:cstheme="minorHAnsi"/>
                <w:b/>
                <w:color w:val="4F6228" w:themeColor="accent3" w:themeShade="80"/>
                <w:sz w:val="19"/>
                <w:szCs w:val="19"/>
              </w:rPr>
              <w:t>September 30th</w:t>
            </w:r>
            <w:r w:rsidRPr="001B0708">
              <w:rPr>
                <w:rFonts w:ascii="Calibri" w:eastAsia="Calibri" w:hAnsi="Calibri" w:cstheme="minorHAnsi"/>
                <w:color w:val="4F6228" w:themeColor="accent3" w:themeShade="80"/>
                <w:sz w:val="19"/>
                <w:szCs w:val="19"/>
              </w:rPr>
              <w:t>.</w:t>
            </w:r>
          </w:p>
        </w:tc>
      </w:tr>
      <w:tr w:rsidR="00840DBF" w:rsidRPr="00840DBF" w:rsidTr="00EA72E5">
        <w:tc>
          <w:tcPr>
            <w:tcW w:w="1260" w:type="dxa"/>
            <w:tcBorders>
              <w:top w:val="single" w:sz="4" w:space="0" w:color="auto"/>
              <w:left w:val="single" w:sz="4" w:space="0" w:color="auto"/>
              <w:bottom w:val="nil"/>
              <w:right w:val="single" w:sz="4" w:space="0" w:color="auto"/>
            </w:tcBorders>
            <w:shd w:val="clear" w:color="auto" w:fill="EAF1DD" w:themeFill="accent3" w:themeFillTint="33"/>
            <w:vAlign w:val="center"/>
          </w:tcPr>
          <w:p w:rsidR="00840DBF" w:rsidRPr="00840DBF" w:rsidRDefault="00840DBF" w:rsidP="00840DBF">
            <w:pPr>
              <w:jc w:val="center"/>
              <w:rPr>
                <w:sz w:val="36"/>
                <w:szCs w:val="36"/>
              </w:rPr>
            </w:pPr>
            <w:r w:rsidRPr="00840DBF">
              <w:rPr>
                <w:sz w:val="40"/>
                <w:szCs w:val="40"/>
              </w:rPr>
              <w:t>□</w:t>
            </w:r>
          </w:p>
        </w:tc>
        <w:tc>
          <w:tcPr>
            <w:tcW w:w="1440" w:type="dxa"/>
            <w:tcBorders>
              <w:top w:val="single" w:sz="4" w:space="0" w:color="auto"/>
              <w:left w:val="single" w:sz="4" w:space="0" w:color="auto"/>
              <w:bottom w:val="nil"/>
              <w:right w:val="single" w:sz="4" w:space="0" w:color="auto"/>
            </w:tcBorders>
            <w:shd w:val="clear" w:color="auto" w:fill="F2DBDB" w:themeFill="accent2" w:themeFillTint="33"/>
            <w:vAlign w:val="center"/>
          </w:tcPr>
          <w:p w:rsidR="00840DBF" w:rsidRPr="00840DBF" w:rsidRDefault="00840DBF" w:rsidP="00840DBF">
            <w:pPr>
              <w:jc w:val="center"/>
              <w:rPr>
                <w:sz w:val="40"/>
                <w:szCs w:val="40"/>
              </w:rPr>
            </w:pPr>
            <w:r w:rsidRPr="00840DBF">
              <w:rPr>
                <w:sz w:val="40"/>
                <w:szCs w:val="40"/>
              </w:rPr>
              <w:t>□</w:t>
            </w:r>
          </w:p>
        </w:tc>
        <w:tc>
          <w:tcPr>
            <w:tcW w:w="5850" w:type="dxa"/>
            <w:tcBorders>
              <w:top w:val="single" w:sz="4" w:space="0" w:color="auto"/>
              <w:left w:val="single" w:sz="4" w:space="0" w:color="auto"/>
              <w:bottom w:val="nil"/>
              <w:right w:val="single" w:sz="4" w:space="0" w:color="auto"/>
            </w:tcBorders>
            <w:shd w:val="clear" w:color="auto" w:fill="FFFFFF" w:themeFill="background1"/>
            <w:vAlign w:val="center"/>
          </w:tcPr>
          <w:p w:rsidR="00840DBF" w:rsidRPr="00840DBF" w:rsidRDefault="00840DBF" w:rsidP="00EA72E5">
            <w:pPr>
              <w:spacing w:before="20" w:afterLines="20" w:after="48"/>
              <w:ind w:right="-108"/>
              <w:contextualSpacing/>
              <w:rPr>
                <w:rFonts w:ascii="Calibri" w:eastAsia="Calibri" w:hAnsi="Calibri" w:cs="Times New Roman"/>
                <w:color w:val="000000" w:themeColor="text1"/>
                <w:spacing w:val="-4"/>
                <w:sz w:val="21"/>
                <w:szCs w:val="21"/>
              </w:rPr>
            </w:pPr>
            <w:r w:rsidRPr="001B0708">
              <w:rPr>
                <w:rFonts w:ascii="Calibri" w:eastAsia="Calibri" w:hAnsi="Calibri" w:cs="Times New Roman"/>
                <w:b/>
                <w:color w:val="9BBB59" w:themeColor="accent3"/>
                <w:sz w:val="21"/>
                <w:szCs w:val="21"/>
              </w:rPr>
              <w:t>Small Business Health Care Tax Credit.</w:t>
            </w:r>
            <w:r w:rsidRPr="001B0708">
              <w:rPr>
                <w:rFonts w:ascii="Calibri" w:eastAsia="Calibri" w:hAnsi="Calibri" w:cs="Times New Roman"/>
                <w:color w:val="9BBB59" w:themeColor="accent3"/>
                <w:sz w:val="21"/>
                <w:szCs w:val="21"/>
              </w:rPr>
              <w:t xml:space="preserve"> </w:t>
            </w:r>
            <w:r w:rsidRPr="00840DBF">
              <w:rPr>
                <w:rFonts w:ascii="Calibri" w:eastAsia="Calibri" w:hAnsi="Calibri" w:cs="Times New Roman"/>
                <w:color w:val="000000" w:themeColor="text1"/>
                <w:sz w:val="21"/>
                <w:szCs w:val="21"/>
              </w:rPr>
              <w:t xml:space="preserve">Determine if your company qualifies for the </w:t>
            </w:r>
            <w:r w:rsidR="00AA1710">
              <w:fldChar w:fldCharType="begin"/>
            </w:r>
            <w:r w:rsidR="00AA1710">
              <w:instrText xml:space="preserve"> HYPERLINK "https://www.healthcare.gov/shop-calculators-taxcredit/" \t "_blank" \o "small business health care tax credit" </w:instrText>
            </w:r>
            <w:r w:rsidR="00AA1710">
              <w:fldChar w:fldCharType="separate"/>
            </w:r>
            <w:r w:rsidRPr="009B0A29">
              <w:rPr>
                <w:rFonts w:ascii="Calibri" w:eastAsia="Calibri" w:hAnsi="Calibri" w:cs="Times New Roman"/>
                <w:color w:val="00B0F0"/>
                <w:sz w:val="21"/>
                <w:szCs w:val="21"/>
                <w:u w:val="single"/>
              </w:rPr>
              <w:t>small business health care tax credit</w:t>
            </w:r>
            <w:r w:rsidR="00AA1710">
              <w:rPr>
                <w:rFonts w:ascii="Calibri" w:eastAsia="Calibri" w:hAnsi="Calibri" w:cs="Times New Roman"/>
                <w:color w:val="00B0F0"/>
                <w:sz w:val="21"/>
                <w:szCs w:val="21"/>
                <w:u w:val="single"/>
              </w:rPr>
              <w:fldChar w:fldCharType="end"/>
            </w:r>
            <w:r w:rsidRPr="00840DBF">
              <w:rPr>
                <w:rFonts w:ascii="Calibri" w:eastAsia="Calibri" w:hAnsi="Calibri" w:cs="Times New Roman"/>
                <w:sz w:val="21"/>
                <w:szCs w:val="21"/>
              </w:rPr>
              <w:t>.</w:t>
            </w:r>
          </w:p>
        </w:tc>
        <w:tc>
          <w:tcPr>
            <w:tcW w:w="5310" w:type="dxa"/>
            <w:tcBorders>
              <w:top w:val="single" w:sz="4" w:space="0" w:color="auto"/>
              <w:left w:val="single" w:sz="4" w:space="0" w:color="auto"/>
              <w:bottom w:val="nil"/>
              <w:right w:val="single" w:sz="4" w:space="0" w:color="auto"/>
            </w:tcBorders>
            <w:shd w:val="clear" w:color="auto" w:fill="FFFFFF" w:themeFill="background1"/>
            <w:vAlign w:val="center"/>
          </w:tcPr>
          <w:p w:rsidR="00840DBF" w:rsidRPr="001B0708" w:rsidRDefault="00840DBF" w:rsidP="00EA72E5">
            <w:pPr>
              <w:spacing w:before="20" w:afterLines="20" w:after="48" w:line="245" w:lineRule="auto"/>
              <w:rPr>
                <w:rFonts w:cstheme="minorHAnsi"/>
                <w:color w:val="4F6228" w:themeColor="accent3" w:themeShade="80"/>
                <w:sz w:val="19"/>
                <w:szCs w:val="19"/>
              </w:rPr>
            </w:pPr>
            <w:r w:rsidRPr="001B0708">
              <w:rPr>
                <w:color w:val="4F6228" w:themeColor="accent3" w:themeShade="80"/>
                <w:spacing w:val="-4"/>
                <w:sz w:val="19"/>
                <w:szCs w:val="19"/>
              </w:rPr>
              <w:t>For up to two years starting in 2014,</w:t>
            </w:r>
            <w:r w:rsidRPr="001B0708">
              <w:rPr>
                <w:b/>
                <w:color w:val="4F6228" w:themeColor="accent3" w:themeShade="80"/>
                <w:spacing w:val="-4"/>
                <w:sz w:val="19"/>
                <w:szCs w:val="19"/>
              </w:rPr>
              <w:t xml:space="preserve"> </w:t>
            </w:r>
            <w:r w:rsidRPr="001B0708">
              <w:rPr>
                <w:bCs/>
                <w:color w:val="4F6228" w:themeColor="accent3" w:themeShade="80"/>
                <w:spacing w:val="-4"/>
                <w:sz w:val="19"/>
                <w:szCs w:val="19"/>
              </w:rPr>
              <w:t>the maximum credit increase</w:t>
            </w:r>
            <w:r w:rsidR="0099470E">
              <w:rPr>
                <w:bCs/>
                <w:color w:val="4F6228" w:themeColor="accent3" w:themeShade="80"/>
                <w:spacing w:val="-4"/>
                <w:sz w:val="19"/>
                <w:szCs w:val="19"/>
              </w:rPr>
              <w:t>d</w:t>
            </w:r>
            <w:r w:rsidRPr="001B0708">
              <w:rPr>
                <w:bCs/>
                <w:color w:val="4F6228" w:themeColor="accent3" w:themeShade="80"/>
                <w:spacing w:val="-4"/>
                <w:sz w:val="19"/>
                <w:szCs w:val="19"/>
              </w:rPr>
              <w:t xml:space="preserve"> to 50% of premiums paid by eligible small businesses; however, the</w:t>
            </w:r>
            <w:r w:rsidRPr="001B0708">
              <w:rPr>
                <w:bCs/>
                <w:color w:val="4F6228" w:themeColor="accent3" w:themeShade="80"/>
                <w:sz w:val="19"/>
                <w:szCs w:val="19"/>
              </w:rPr>
              <w:t xml:space="preserve"> </w:t>
            </w:r>
            <w:r w:rsidRPr="001B0708">
              <w:rPr>
                <w:bCs/>
                <w:color w:val="4F6228" w:themeColor="accent3" w:themeShade="80"/>
                <w:sz w:val="19"/>
                <w:szCs w:val="19"/>
              </w:rPr>
              <w:lastRenderedPageBreak/>
              <w:t>credit is generally only available if coverage is obtained</w:t>
            </w:r>
            <w:r w:rsidRPr="001B0708">
              <w:rPr>
                <w:b/>
                <w:color w:val="4F6228" w:themeColor="accent3" w:themeShade="80"/>
                <w:spacing w:val="-2"/>
                <w:sz w:val="19"/>
                <w:szCs w:val="19"/>
              </w:rPr>
              <w:t xml:space="preserve"> </w:t>
            </w:r>
            <w:r w:rsidRPr="001B0708">
              <w:rPr>
                <w:color w:val="4F6228" w:themeColor="accent3" w:themeShade="80"/>
                <w:spacing w:val="-2"/>
                <w:sz w:val="19"/>
                <w:szCs w:val="19"/>
              </w:rPr>
              <w:t>through a SHOP Exchange (Marketplace).</w:t>
            </w:r>
          </w:p>
        </w:tc>
      </w:tr>
      <w:tr w:rsidR="001B0708" w:rsidRPr="00840DBF" w:rsidTr="00E019E4">
        <w:tc>
          <w:tcPr>
            <w:tcW w:w="13860"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p w:rsidR="001B0708" w:rsidRPr="00840DBF" w:rsidRDefault="007E6907" w:rsidP="00136AA3">
            <w:pPr>
              <w:spacing w:before="60" w:after="60"/>
              <w:jc w:val="center"/>
              <w:rPr>
                <w:b/>
                <w:sz w:val="32"/>
                <w:szCs w:val="32"/>
              </w:rPr>
            </w:pPr>
            <w:bookmarkStart w:id="2" w:name="SelfInsured"/>
            <w:bookmarkEnd w:id="2"/>
            <w:r>
              <w:rPr>
                <w:b/>
                <w:color w:val="FFFFFF" w:themeColor="background1"/>
                <w:sz w:val="32"/>
                <w:szCs w:val="32"/>
              </w:rPr>
              <w:lastRenderedPageBreak/>
              <w:t>Plans With Tax-Favored Arrangements (Cafeter</w:t>
            </w:r>
            <w:r w:rsidR="00874027">
              <w:rPr>
                <w:b/>
                <w:color w:val="FFFFFF" w:themeColor="background1"/>
                <w:sz w:val="32"/>
                <w:szCs w:val="32"/>
              </w:rPr>
              <w:t>ia Plans, FSAs, HRAs) ALSO MUST</w:t>
            </w:r>
          </w:p>
        </w:tc>
      </w:tr>
      <w:tr w:rsidR="007E6907" w:rsidRPr="00992DDB" w:rsidTr="00E019E4">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F79646" w:themeColor="accent6"/>
            </w:tcBorders>
            <w:shd w:val="clear" w:color="auto" w:fill="EAF1DD" w:themeFill="accent3" w:themeFillTint="33"/>
            <w:vAlign w:val="center"/>
          </w:tcPr>
          <w:p w:rsidR="007E6907" w:rsidRPr="007E6907" w:rsidRDefault="007E6907" w:rsidP="00ED09AB">
            <w:pPr>
              <w:jc w:val="center"/>
              <w:rPr>
                <w:b/>
                <w:i/>
                <w:color w:val="984806" w:themeColor="accent6" w:themeShade="80"/>
              </w:rPr>
            </w:pPr>
            <w:r w:rsidRPr="007E6907">
              <w:rPr>
                <w:b/>
                <w:i/>
                <w:color w:val="984806" w:themeColor="accent6" w:themeShade="80"/>
              </w:rPr>
              <w:t>Completed</w:t>
            </w:r>
          </w:p>
        </w:tc>
        <w:tc>
          <w:tcPr>
            <w:tcW w:w="1440" w:type="dxa"/>
            <w:tcBorders>
              <w:top w:val="single" w:sz="4" w:space="0" w:color="F79646" w:themeColor="accent6"/>
            </w:tcBorders>
            <w:shd w:val="clear" w:color="auto" w:fill="F2DBDB" w:themeFill="accent2" w:themeFillTint="33"/>
            <w:vAlign w:val="center"/>
          </w:tcPr>
          <w:p w:rsidR="007E6907" w:rsidRPr="007E6907" w:rsidRDefault="007E6907" w:rsidP="00ED09AB">
            <w:pPr>
              <w:jc w:val="center"/>
              <w:rPr>
                <w:b/>
                <w:i/>
                <w:color w:val="984806" w:themeColor="accent6" w:themeShade="80"/>
              </w:rPr>
            </w:pPr>
            <w:r w:rsidRPr="007E6907">
              <w:rPr>
                <w:b/>
                <w:i/>
                <w:color w:val="984806" w:themeColor="accent6" w:themeShade="80"/>
              </w:rPr>
              <w:t>To Be Completed</w:t>
            </w:r>
          </w:p>
        </w:tc>
        <w:tc>
          <w:tcPr>
            <w:tcW w:w="5850" w:type="dxa"/>
            <w:tcBorders>
              <w:top w:val="single" w:sz="4" w:space="0" w:color="F79646" w:themeColor="accent6"/>
            </w:tcBorders>
            <w:shd w:val="clear" w:color="auto" w:fill="FDE9D9" w:themeFill="accent6" w:themeFillTint="33"/>
            <w:vAlign w:val="center"/>
          </w:tcPr>
          <w:p w:rsidR="007E6907" w:rsidRPr="007E6907" w:rsidRDefault="007E6907" w:rsidP="00ED09AB">
            <w:pPr>
              <w:jc w:val="center"/>
              <w:rPr>
                <w:b/>
                <w:i/>
                <w:color w:val="984806" w:themeColor="accent6" w:themeShade="80"/>
              </w:rPr>
            </w:pPr>
            <w:r w:rsidRPr="007E6907">
              <w:rPr>
                <w:b/>
                <w:i/>
                <w:color w:val="984806" w:themeColor="accent6" w:themeShade="80"/>
              </w:rPr>
              <w:t>Employer Action Items</w:t>
            </w:r>
          </w:p>
        </w:tc>
        <w:tc>
          <w:tcPr>
            <w:tcW w:w="5310" w:type="dxa"/>
            <w:tcBorders>
              <w:top w:val="single" w:sz="4" w:space="0" w:color="F79646" w:themeColor="accent6"/>
            </w:tcBorders>
            <w:shd w:val="clear" w:color="auto" w:fill="FDE9D9" w:themeFill="accent6" w:themeFillTint="33"/>
            <w:vAlign w:val="center"/>
          </w:tcPr>
          <w:p w:rsidR="007E6907" w:rsidRPr="007E6907" w:rsidRDefault="007E6907" w:rsidP="00ED09AB">
            <w:pPr>
              <w:jc w:val="center"/>
              <w:rPr>
                <w:b/>
                <w:i/>
                <w:color w:val="984806" w:themeColor="accent6" w:themeShade="80"/>
              </w:rPr>
            </w:pPr>
            <w:r w:rsidRPr="007E6907">
              <w:rPr>
                <w:b/>
                <w:i/>
                <w:color w:val="984806" w:themeColor="accent6" w:themeShade="80"/>
              </w:rPr>
              <w:t>Deadlines/Tips</w:t>
            </w:r>
          </w:p>
        </w:tc>
      </w:tr>
      <w:tr w:rsidR="001B0708" w:rsidRPr="00840DBF" w:rsidTr="00E05D34">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B0708" w:rsidRPr="007E6907" w:rsidRDefault="001B0708" w:rsidP="00ED09AB">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B0708" w:rsidRPr="00840DBF" w:rsidRDefault="001B0708" w:rsidP="00ED09AB">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708" w:rsidRPr="00840DBF" w:rsidRDefault="001B0708" w:rsidP="00136AA3">
            <w:pPr>
              <w:spacing w:before="60" w:after="60" w:line="245" w:lineRule="auto"/>
              <w:rPr>
                <w:rFonts w:eastAsia="Times New Roman" w:cs="Times New Roman"/>
                <w:b/>
                <w:sz w:val="21"/>
                <w:szCs w:val="21"/>
              </w:rPr>
            </w:pPr>
            <w:r w:rsidRPr="007E6907">
              <w:rPr>
                <w:rFonts w:eastAsia="Times New Roman" w:cs="Times New Roman"/>
                <w:b/>
                <w:bCs/>
                <w:color w:val="F79646" w:themeColor="accent6"/>
                <w:sz w:val="21"/>
                <w:szCs w:val="21"/>
              </w:rPr>
              <w:t>Cafeteria Plan Mid-Year Election Changes.</w:t>
            </w:r>
            <w:r w:rsidRPr="007E6907">
              <w:rPr>
                <w:rFonts w:eastAsia="Times New Roman" w:cs="Times New Roman"/>
                <w:bCs/>
                <w:color w:val="F79646" w:themeColor="accent6"/>
                <w:sz w:val="21"/>
                <w:szCs w:val="21"/>
              </w:rPr>
              <w:t xml:space="preserve"> </w:t>
            </w:r>
            <w:r w:rsidRPr="00840DBF">
              <w:rPr>
                <w:rFonts w:eastAsia="Times New Roman" w:cs="Times New Roman"/>
                <w:bCs/>
                <w:sz w:val="21"/>
                <w:szCs w:val="21"/>
              </w:rPr>
              <w:t xml:space="preserve">If employees are allowed to make </w:t>
            </w:r>
            <w:r w:rsidRPr="00840DBF">
              <w:rPr>
                <w:rFonts w:eastAsia="Times New Roman" w:cs="Times New Roman"/>
                <w:b/>
                <w:bCs/>
                <w:sz w:val="21"/>
                <w:szCs w:val="21"/>
              </w:rPr>
              <w:t>additional mid-year changes in salary reduction elections</w:t>
            </w:r>
            <w:r w:rsidRPr="00840DBF">
              <w:rPr>
                <w:rFonts w:eastAsia="Times New Roman" w:cs="Times New Roman"/>
                <w:bCs/>
                <w:sz w:val="21"/>
                <w:szCs w:val="21"/>
              </w:rPr>
              <w:t xml:space="preserve"> in the event of an employee's enrollment in Health Insurance Marketplace coverage and/or a reduction in an employee's hours of service, </w:t>
            </w:r>
            <w:r w:rsidRPr="00840DBF">
              <w:rPr>
                <w:rFonts w:eastAsia="Times New Roman" w:cs="Times New Roman"/>
                <w:b/>
                <w:bCs/>
                <w:sz w:val="21"/>
                <w:szCs w:val="21"/>
              </w:rPr>
              <w:t>ensure</w:t>
            </w:r>
            <w:r w:rsidRPr="00840DBF">
              <w:rPr>
                <w:rFonts w:eastAsia="Times New Roman" w:cs="Times New Roman"/>
                <w:bCs/>
                <w:sz w:val="21"/>
                <w:szCs w:val="21"/>
              </w:rPr>
              <w:t xml:space="preserve"> </w:t>
            </w:r>
            <w:r w:rsidR="009A221D">
              <w:rPr>
                <w:rFonts w:eastAsia="Times New Roman" w:cs="Times New Roman"/>
                <w:b/>
                <w:bCs/>
                <w:sz w:val="21"/>
                <w:szCs w:val="21"/>
              </w:rPr>
              <w:t>appropriate plan amendments a</w:t>
            </w:r>
            <w:r w:rsidRPr="00840DBF">
              <w:rPr>
                <w:rFonts w:eastAsia="Times New Roman" w:cs="Times New Roman"/>
                <w:b/>
                <w:bCs/>
                <w:sz w:val="21"/>
                <w:szCs w:val="21"/>
              </w:rPr>
              <w:t>re adopted</w:t>
            </w:r>
            <w:r w:rsidRPr="00840DBF">
              <w:rPr>
                <w:rFonts w:eastAsia="Times New Roman" w:cs="Times New Roman"/>
                <w:bCs/>
                <w:sz w:val="21"/>
                <w:szCs w:val="21"/>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708" w:rsidRPr="00840DBF" w:rsidRDefault="001B0708" w:rsidP="00136AA3">
            <w:pPr>
              <w:spacing w:before="60" w:after="60"/>
              <w:rPr>
                <w:sz w:val="19"/>
                <w:szCs w:val="19"/>
              </w:rPr>
            </w:pPr>
            <w:r w:rsidRPr="007E6907">
              <w:rPr>
                <w:color w:val="984806" w:themeColor="accent6" w:themeShade="80"/>
                <w:sz w:val="19"/>
                <w:szCs w:val="19"/>
              </w:rPr>
              <w:t xml:space="preserve">The amendment must be adopted </w:t>
            </w:r>
            <w:r w:rsidR="00BC6E6E">
              <w:rPr>
                <w:color w:val="984806" w:themeColor="accent6" w:themeShade="80"/>
                <w:sz w:val="19"/>
                <w:szCs w:val="19"/>
              </w:rPr>
              <w:t xml:space="preserve">by </w:t>
            </w:r>
            <w:r w:rsidRPr="007E6907">
              <w:rPr>
                <w:color w:val="984806" w:themeColor="accent6" w:themeShade="80"/>
                <w:sz w:val="19"/>
                <w:szCs w:val="19"/>
              </w:rPr>
              <w:t xml:space="preserve">the last day of the plan year in which the elections </w:t>
            </w:r>
            <w:r w:rsidR="003417BA">
              <w:rPr>
                <w:color w:val="984806" w:themeColor="accent6" w:themeShade="80"/>
                <w:sz w:val="19"/>
                <w:szCs w:val="19"/>
              </w:rPr>
              <w:t>a</w:t>
            </w:r>
            <w:r w:rsidRPr="007E6907">
              <w:rPr>
                <w:color w:val="984806" w:themeColor="accent6" w:themeShade="80"/>
                <w:sz w:val="19"/>
                <w:szCs w:val="19"/>
              </w:rPr>
              <w:t>re allowed, and may be effective retroactively to the first day of that plan year, provided the cafeteria plan operate</w:t>
            </w:r>
            <w:r w:rsidR="003417BA">
              <w:rPr>
                <w:color w:val="984806" w:themeColor="accent6" w:themeShade="80"/>
                <w:sz w:val="19"/>
                <w:szCs w:val="19"/>
              </w:rPr>
              <w:t>s</w:t>
            </w:r>
            <w:r w:rsidRPr="007E6907">
              <w:rPr>
                <w:color w:val="984806" w:themeColor="accent6" w:themeShade="80"/>
                <w:sz w:val="19"/>
                <w:szCs w:val="19"/>
              </w:rPr>
              <w:t xml:space="preserve"> in accordance with </w:t>
            </w:r>
            <w:hyperlink r:id="rId21" w:history="1">
              <w:r w:rsidRPr="009B0A29">
                <w:rPr>
                  <w:color w:val="00B0F0"/>
                  <w:sz w:val="19"/>
                  <w:szCs w:val="19"/>
                  <w:u w:val="single"/>
                </w:rPr>
                <w:t>agency guidance</w:t>
              </w:r>
            </w:hyperlink>
            <w:r w:rsidRPr="00840DBF">
              <w:rPr>
                <w:color w:val="215868" w:themeColor="accent5" w:themeShade="80"/>
                <w:sz w:val="19"/>
                <w:szCs w:val="19"/>
              </w:rPr>
              <w:t xml:space="preserve"> </w:t>
            </w:r>
            <w:r w:rsidRPr="007E6907">
              <w:rPr>
                <w:color w:val="984806" w:themeColor="accent6" w:themeShade="80"/>
                <w:sz w:val="19"/>
                <w:szCs w:val="19"/>
              </w:rPr>
              <w:t>and the employer inform</w:t>
            </w:r>
            <w:r w:rsidR="003417BA">
              <w:rPr>
                <w:color w:val="984806" w:themeColor="accent6" w:themeShade="80"/>
                <w:sz w:val="19"/>
                <w:szCs w:val="19"/>
              </w:rPr>
              <w:t>s</w:t>
            </w:r>
            <w:r w:rsidRPr="007E6907">
              <w:rPr>
                <w:color w:val="984806" w:themeColor="accent6" w:themeShade="80"/>
                <w:sz w:val="19"/>
                <w:szCs w:val="19"/>
              </w:rPr>
              <w:t xml:space="preserve"> participants of the amendment.</w:t>
            </w:r>
          </w:p>
        </w:tc>
      </w:tr>
      <w:tr w:rsidR="001B0708" w:rsidRPr="00840DBF" w:rsidTr="00E05D34">
        <w:tc>
          <w:tcPr>
            <w:tcW w:w="1260" w:type="dxa"/>
            <w:tcBorders>
              <w:top w:val="single" w:sz="4" w:space="0" w:color="auto"/>
              <w:left w:val="single" w:sz="4" w:space="0" w:color="auto"/>
              <w:bottom w:val="single" w:sz="4" w:space="0" w:color="F79646" w:themeColor="accent6"/>
              <w:right w:val="single" w:sz="4" w:space="0" w:color="auto"/>
            </w:tcBorders>
            <w:shd w:val="clear" w:color="auto" w:fill="EAF1DD" w:themeFill="accent3" w:themeFillTint="33"/>
            <w:vAlign w:val="center"/>
          </w:tcPr>
          <w:p w:rsidR="001B0708" w:rsidRPr="007E6907" w:rsidRDefault="001B0708" w:rsidP="00ED09AB">
            <w:pPr>
              <w:jc w:val="center"/>
              <w:rPr>
                <w:sz w:val="40"/>
                <w:szCs w:val="40"/>
              </w:rPr>
            </w:pPr>
            <w:r w:rsidRPr="007E6907">
              <w:rPr>
                <w:sz w:val="40"/>
                <w:szCs w:val="40"/>
              </w:rPr>
              <w:t>□</w:t>
            </w:r>
          </w:p>
        </w:tc>
        <w:tc>
          <w:tcPr>
            <w:tcW w:w="1440" w:type="dxa"/>
            <w:tcBorders>
              <w:top w:val="single" w:sz="4" w:space="0" w:color="auto"/>
              <w:left w:val="single" w:sz="4" w:space="0" w:color="auto"/>
              <w:bottom w:val="single" w:sz="4" w:space="0" w:color="F79646" w:themeColor="accent6"/>
              <w:right w:val="single" w:sz="4" w:space="0" w:color="auto"/>
            </w:tcBorders>
            <w:shd w:val="clear" w:color="auto" w:fill="F2DBDB" w:themeFill="accent2" w:themeFillTint="33"/>
            <w:vAlign w:val="center"/>
          </w:tcPr>
          <w:p w:rsidR="001B0708" w:rsidRPr="00840DBF" w:rsidRDefault="001B0708" w:rsidP="00ED09AB">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F79646" w:themeColor="accent6"/>
              <w:right w:val="single" w:sz="4" w:space="0" w:color="auto"/>
            </w:tcBorders>
            <w:shd w:val="clear" w:color="auto" w:fill="FFFFFF" w:themeFill="background1"/>
            <w:vAlign w:val="center"/>
          </w:tcPr>
          <w:p w:rsidR="001B0708" w:rsidRPr="00840DBF" w:rsidRDefault="001B0708" w:rsidP="00136AA3">
            <w:pPr>
              <w:spacing w:before="60" w:after="60" w:line="245" w:lineRule="auto"/>
              <w:rPr>
                <w:sz w:val="21"/>
                <w:szCs w:val="21"/>
              </w:rPr>
            </w:pPr>
            <w:r w:rsidRPr="007E6907">
              <w:rPr>
                <w:rFonts w:eastAsia="Times New Roman"/>
                <w:b/>
                <w:bCs/>
                <w:color w:val="F79646" w:themeColor="accent6"/>
                <w:spacing w:val="-2"/>
                <w:sz w:val="21"/>
                <w:szCs w:val="21"/>
              </w:rPr>
              <w:t>Prohibited Cafeteria Plan Benefits.</w:t>
            </w:r>
            <w:r w:rsidRPr="007E6907">
              <w:rPr>
                <w:rFonts w:eastAsia="Times New Roman"/>
                <w:bCs/>
                <w:color w:val="F79646" w:themeColor="accent6"/>
                <w:spacing w:val="-2"/>
                <w:sz w:val="21"/>
                <w:szCs w:val="21"/>
              </w:rPr>
              <w:t xml:space="preserve"> </w:t>
            </w:r>
            <w:r w:rsidRPr="00840DBF">
              <w:rPr>
                <w:rFonts w:eastAsia="Times New Roman"/>
                <w:bCs/>
                <w:spacing w:val="-2"/>
                <w:sz w:val="21"/>
                <w:szCs w:val="21"/>
              </w:rPr>
              <w:t>Confirm that section 125 plan documents were amended to comply with the</w:t>
            </w:r>
            <w:r w:rsidRPr="00840DBF">
              <w:rPr>
                <w:rFonts w:eastAsia="Times New Roman"/>
                <w:b/>
                <w:bCs/>
                <w:spacing w:val="-2"/>
                <w:sz w:val="21"/>
                <w:szCs w:val="21"/>
              </w:rPr>
              <w:t xml:space="preserve"> prohibition on providing a qualified health</w:t>
            </w:r>
            <w:r w:rsidRPr="00840DBF">
              <w:rPr>
                <w:rFonts w:eastAsia="Times New Roman"/>
                <w:b/>
                <w:bCs/>
                <w:sz w:val="21"/>
                <w:szCs w:val="21"/>
              </w:rPr>
              <w:t xml:space="preserve"> plan</w:t>
            </w:r>
            <w:r w:rsidRPr="00840DBF">
              <w:rPr>
                <w:rFonts w:eastAsia="Times New Roman"/>
                <w:bCs/>
                <w:sz w:val="21"/>
                <w:szCs w:val="21"/>
              </w:rPr>
              <w:t xml:space="preserve"> offered through the </w:t>
            </w:r>
            <w:r>
              <w:rPr>
                <w:rFonts w:eastAsia="Times New Roman"/>
                <w:bCs/>
                <w:sz w:val="21"/>
                <w:szCs w:val="21"/>
              </w:rPr>
              <w:t xml:space="preserve">Individual </w:t>
            </w:r>
            <w:r w:rsidRPr="00840DBF">
              <w:rPr>
                <w:rFonts w:eastAsia="Times New Roman"/>
                <w:bCs/>
                <w:sz w:val="21"/>
                <w:szCs w:val="21"/>
              </w:rPr>
              <w:t xml:space="preserve">Health Insurance Marketplace as a benefit under an </w:t>
            </w:r>
            <w:r w:rsidRPr="00840DBF">
              <w:rPr>
                <w:rFonts w:eastAsia="Times New Roman"/>
                <w:bCs/>
                <w:spacing w:val="-2"/>
                <w:sz w:val="21"/>
                <w:szCs w:val="21"/>
              </w:rPr>
              <w:t>employer-sponsored cafeteria plan.</w:t>
            </w:r>
          </w:p>
        </w:tc>
        <w:tc>
          <w:tcPr>
            <w:tcW w:w="5310" w:type="dxa"/>
            <w:tcBorders>
              <w:top w:val="single" w:sz="4" w:space="0" w:color="auto"/>
              <w:left w:val="single" w:sz="4" w:space="0" w:color="auto"/>
              <w:bottom w:val="single" w:sz="4" w:space="0" w:color="F79646" w:themeColor="accent6"/>
              <w:right w:val="single" w:sz="4" w:space="0" w:color="auto"/>
            </w:tcBorders>
            <w:shd w:val="clear" w:color="auto" w:fill="FFFFFF" w:themeFill="background1"/>
            <w:vAlign w:val="center"/>
          </w:tcPr>
          <w:p w:rsidR="001B0708" w:rsidRPr="00840DBF" w:rsidRDefault="00892B26" w:rsidP="00136AA3">
            <w:pPr>
              <w:spacing w:before="60" w:after="60"/>
              <w:rPr>
                <w:sz w:val="19"/>
                <w:szCs w:val="19"/>
              </w:rPr>
            </w:pPr>
            <w:r>
              <w:rPr>
                <w:color w:val="984806" w:themeColor="accent6" w:themeShade="80"/>
                <w:sz w:val="19"/>
                <w:szCs w:val="19"/>
              </w:rPr>
              <w:t xml:space="preserve">Effective as of 2014. </w:t>
            </w:r>
            <w:r w:rsidR="001B0708" w:rsidRPr="007E6907">
              <w:rPr>
                <w:color w:val="984806" w:themeColor="accent6" w:themeShade="80"/>
                <w:sz w:val="19"/>
                <w:szCs w:val="19"/>
              </w:rPr>
              <w:t xml:space="preserve">This requirement </w:t>
            </w:r>
            <w:r w:rsidR="001B0708" w:rsidRPr="007E6907">
              <w:rPr>
                <w:b/>
                <w:color w:val="984806" w:themeColor="accent6" w:themeShade="80"/>
                <w:sz w:val="19"/>
                <w:szCs w:val="19"/>
              </w:rPr>
              <w:t>does not apply</w:t>
            </w:r>
            <w:r w:rsidR="001B0708" w:rsidRPr="007E6907">
              <w:rPr>
                <w:color w:val="984806" w:themeColor="accent6" w:themeShade="80"/>
                <w:sz w:val="19"/>
                <w:szCs w:val="19"/>
              </w:rPr>
              <w:t xml:space="preserve"> to group coverage offered through the </w:t>
            </w:r>
            <w:hyperlink r:id="rId22" w:history="1">
              <w:r w:rsidR="001B0708" w:rsidRPr="0031690B">
                <w:rPr>
                  <w:rStyle w:val="Hyperlink"/>
                  <w:color w:val="00B0F0"/>
                  <w:sz w:val="19"/>
                  <w:szCs w:val="19"/>
                </w:rPr>
                <w:t>SHOP Marketplace</w:t>
              </w:r>
            </w:hyperlink>
            <w:r w:rsidR="001B0708" w:rsidRPr="007E6907">
              <w:rPr>
                <w:color w:val="984806" w:themeColor="accent6" w:themeShade="80"/>
                <w:sz w:val="19"/>
                <w:szCs w:val="19"/>
              </w:rPr>
              <w:t>.</w:t>
            </w:r>
          </w:p>
        </w:tc>
      </w:tr>
      <w:tr w:rsidR="00EB3228" w:rsidRPr="007317F2" w:rsidTr="00EB3228">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B3228" w:rsidRPr="00840DBF" w:rsidRDefault="00EB3228" w:rsidP="00FF09E1">
            <w:pPr>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B3228" w:rsidRPr="00840DBF" w:rsidRDefault="00EB3228" w:rsidP="00FF09E1">
            <w:pPr>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228" w:rsidRPr="007E6907" w:rsidRDefault="00EB3228" w:rsidP="00136AA3">
            <w:pPr>
              <w:spacing w:before="60" w:after="60" w:line="245" w:lineRule="auto"/>
              <w:rPr>
                <w:rFonts w:eastAsia="Times New Roman"/>
                <w:b/>
                <w:bCs/>
                <w:color w:val="F79646" w:themeColor="accent6"/>
                <w:spacing w:val="-2"/>
                <w:sz w:val="21"/>
                <w:szCs w:val="21"/>
              </w:rPr>
            </w:pPr>
            <w:r w:rsidRPr="00266F4A">
              <w:rPr>
                <w:rFonts w:eastAsia="Times New Roman" w:cs="Times New Roman"/>
                <w:b/>
                <w:bCs/>
                <w:color w:val="F79646" w:themeColor="accent6"/>
                <w:spacing w:val="-2"/>
                <w:sz w:val="21"/>
                <w:szCs w:val="21"/>
              </w:rPr>
              <w:t>FSA Contribution Limits.</w:t>
            </w:r>
            <w:r w:rsidRPr="00266F4A">
              <w:rPr>
                <w:rFonts w:eastAsia="Times New Roman" w:cs="Times New Roman"/>
                <w:bCs/>
                <w:color w:val="F79646" w:themeColor="accent6"/>
                <w:spacing w:val="-2"/>
                <w:sz w:val="21"/>
                <w:szCs w:val="21"/>
              </w:rPr>
              <w:t xml:space="preserve"> </w:t>
            </w:r>
            <w:r>
              <w:rPr>
                <w:rFonts w:eastAsia="Times New Roman" w:cs="Times New Roman"/>
                <w:bCs/>
                <w:spacing w:val="-2"/>
                <w:sz w:val="21"/>
                <w:szCs w:val="21"/>
              </w:rPr>
              <w:t xml:space="preserve">Ensure plan documents </w:t>
            </w:r>
            <w:r w:rsidRPr="000D4183">
              <w:rPr>
                <w:rFonts w:eastAsia="Times New Roman" w:cs="Times New Roman"/>
                <w:bCs/>
                <w:spacing w:val="-2"/>
                <w:sz w:val="21"/>
                <w:szCs w:val="21"/>
              </w:rPr>
              <w:t xml:space="preserve">reflect that employee </w:t>
            </w:r>
            <w:r w:rsidRPr="00584575">
              <w:rPr>
                <w:rFonts w:eastAsia="Times New Roman" w:cs="Times New Roman"/>
                <w:b/>
                <w:bCs/>
                <w:spacing w:val="-2"/>
                <w:sz w:val="21"/>
                <w:szCs w:val="21"/>
              </w:rPr>
              <w:t>salary reduction contributions to health FSAs are limited</w:t>
            </w:r>
            <w:r w:rsidRPr="000D4183">
              <w:rPr>
                <w:rFonts w:eastAsia="Times New Roman" w:cs="Times New Roman"/>
                <w:bCs/>
                <w:spacing w:val="-2"/>
                <w:sz w:val="21"/>
                <w:szCs w:val="21"/>
              </w:rPr>
              <w:t xml:space="preserve"> </w:t>
            </w:r>
            <w:r w:rsidRPr="00604179">
              <w:rPr>
                <w:rFonts w:eastAsia="Times New Roman" w:cs="Times New Roman"/>
                <w:b/>
                <w:bCs/>
                <w:spacing w:val="-2"/>
                <w:sz w:val="21"/>
                <w:szCs w:val="21"/>
              </w:rPr>
              <w:t xml:space="preserve">to </w:t>
            </w:r>
            <w:r>
              <w:rPr>
                <w:rFonts w:cstheme="minorHAnsi"/>
                <w:b/>
                <w:spacing w:val="-2"/>
                <w:sz w:val="21"/>
                <w:szCs w:val="21"/>
              </w:rPr>
              <w:t>$2,6</w:t>
            </w:r>
            <w:r w:rsidR="00692A8C">
              <w:rPr>
                <w:rFonts w:cstheme="minorHAnsi"/>
                <w:b/>
                <w:spacing w:val="-2"/>
                <w:sz w:val="21"/>
                <w:szCs w:val="21"/>
              </w:rPr>
              <w:t>5</w:t>
            </w:r>
            <w:r w:rsidRPr="00E3206B">
              <w:rPr>
                <w:rFonts w:cstheme="minorHAnsi"/>
                <w:b/>
                <w:spacing w:val="-2"/>
                <w:sz w:val="21"/>
                <w:szCs w:val="21"/>
              </w:rPr>
              <w:t>0</w:t>
            </w:r>
            <w:r w:rsidRPr="00604179">
              <w:rPr>
                <w:rFonts w:cstheme="minorHAnsi"/>
                <w:b/>
                <w:spacing w:val="-2"/>
                <w:sz w:val="21"/>
                <w:szCs w:val="21"/>
              </w:rPr>
              <w:t xml:space="preserve"> annually</w:t>
            </w:r>
            <w:r>
              <w:rPr>
                <w:rFonts w:cstheme="minorHAnsi"/>
                <w:spacing w:val="-2"/>
                <w:sz w:val="21"/>
                <w:szCs w:val="21"/>
              </w:rPr>
              <w:t xml:space="preserve"> for tax year 201</w:t>
            </w:r>
            <w:r w:rsidR="00692A8C">
              <w:rPr>
                <w:rFonts w:cstheme="minorHAnsi"/>
                <w:spacing w:val="-2"/>
                <w:sz w:val="21"/>
                <w:szCs w:val="21"/>
              </w:rPr>
              <w:t>8.</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228" w:rsidRPr="007317F2" w:rsidRDefault="00EB3228" w:rsidP="00136AA3">
            <w:pPr>
              <w:spacing w:before="60" w:after="60" w:line="245" w:lineRule="auto"/>
              <w:rPr>
                <w:rFonts w:eastAsia="Times New Roman"/>
                <w:color w:val="984806" w:themeColor="accent6" w:themeShade="80"/>
                <w:spacing w:val="-2"/>
                <w:sz w:val="19"/>
                <w:szCs w:val="19"/>
              </w:rPr>
            </w:pPr>
            <w:r w:rsidRPr="00266F4A">
              <w:rPr>
                <w:rFonts w:eastAsia="Times New Roman"/>
                <w:color w:val="984806" w:themeColor="accent6" w:themeShade="80"/>
                <w:spacing w:val="-2"/>
                <w:sz w:val="19"/>
                <w:szCs w:val="19"/>
              </w:rPr>
              <w:t xml:space="preserve">The </w:t>
            </w:r>
            <w:r>
              <w:rPr>
                <w:rFonts w:eastAsia="Times New Roman"/>
                <w:color w:val="984806" w:themeColor="accent6" w:themeShade="80"/>
                <w:spacing w:val="-2"/>
                <w:sz w:val="19"/>
                <w:szCs w:val="19"/>
              </w:rPr>
              <w:t xml:space="preserve">limit may </w:t>
            </w:r>
            <w:r w:rsidRPr="00266F4A">
              <w:rPr>
                <w:rFonts w:eastAsia="Times New Roman"/>
                <w:color w:val="984806" w:themeColor="accent6" w:themeShade="80"/>
                <w:spacing w:val="-2"/>
                <w:sz w:val="19"/>
                <w:szCs w:val="19"/>
              </w:rPr>
              <w:t xml:space="preserve">be expressed as a maximum dollar amount, a maximum percentage of compensation, or by another method of determining the maximum salary reduction contribution.    </w:t>
            </w:r>
          </w:p>
        </w:tc>
      </w:tr>
    </w:tbl>
    <w:p w:rsidR="00136AA3" w:rsidRPr="00801532" w:rsidRDefault="00136AA3" w:rsidP="00EA72E5">
      <w:pPr>
        <w:spacing w:after="0" w:line="240" w:lineRule="auto"/>
        <w:rPr>
          <w:sz w:val="2"/>
          <w:szCs w:val="16"/>
        </w:rPr>
      </w:pPr>
    </w:p>
    <w:tbl>
      <w:tblPr>
        <w:tblStyle w:val="TableGrid"/>
        <w:tblW w:w="13860" w:type="dxa"/>
        <w:tblInd w:w="-162"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440"/>
        <w:gridCol w:w="5850"/>
        <w:gridCol w:w="5310"/>
      </w:tblGrid>
      <w:tr w:rsidR="000D0F90" w:rsidRPr="00840DBF" w:rsidTr="00471292">
        <w:tc>
          <w:tcPr>
            <w:tcW w:w="13860"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p w:rsidR="000D0F90" w:rsidRPr="00840DBF" w:rsidRDefault="000D0F90" w:rsidP="00471292">
            <w:pPr>
              <w:spacing w:before="40" w:after="40"/>
              <w:jc w:val="center"/>
              <w:rPr>
                <w:b/>
                <w:sz w:val="32"/>
                <w:szCs w:val="32"/>
              </w:rPr>
            </w:pPr>
            <w:r>
              <w:rPr>
                <w:b/>
                <w:color w:val="FFFFFF" w:themeColor="background1"/>
                <w:sz w:val="32"/>
                <w:szCs w:val="32"/>
              </w:rPr>
              <w:t>Plans With Tax-Favored Arrangements (Cafeteria Plans, FSAs, HRAs) ALSO MUST (CONT'D)</w:t>
            </w:r>
          </w:p>
        </w:tc>
      </w:tr>
      <w:tr w:rsidR="000D0F90" w:rsidRPr="00992DDB" w:rsidTr="00471292">
        <w:tblPrEx>
          <w:tblBorders>
            <w:top w:val="single" w:sz="4" w:space="0" w:color="auto"/>
            <w:left w:val="single" w:sz="4" w:space="0" w:color="auto"/>
            <w:bottom w:val="single" w:sz="4" w:space="0" w:color="4F81BD" w:themeColor="accent1"/>
            <w:right w:val="single" w:sz="4" w:space="0" w:color="auto"/>
            <w:insideH w:val="single" w:sz="4" w:space="0" w:color="auto"/>
            <w:insideV w:val="single" w:sz="4" w:space="0" w:color="auto"/>
          </w:tblBorders>
        </w:tblPrEx>
        <w:trPr>
          <w:trHeight w:val="503"/>
        </w:trPr>
        <w:tc>
          <w:tcPr>
            <w:tcW w:w="1260" w:type="dxa"/>
            <w:tcBorders>
              <w:top w:val="single" w:sz="4" w:space="0" w:color="F79646" w:themeColor="accent6"/>
            </w:tcBorders>
            <w:shd w:val="clear" w:color="auto" w:fill="EAF1DD" w:themeFill="accent3" w:themeFillTint="33"/>
            <w:vAlign w:val="center"/>
          </w:tcPr>
          <w:p w:rsidR="000D0F90" w:rsidRPr="007E6907" w:rsidRDefault="000D0F90" w:rsidP="00471292">
            <w:pPr>
              <w:jc w:val="center"/>
              <w:rPr>
                <w:b/>
                <w:i/>
                <w:color w:val="984806" w:themeColor="accent6" w:themeShade="80"/>
              </w:rPr>
            </w:pPr>
            <w:r w:rsidRPr="007E6907">
              <w:rPr>
                <w:b/>
                <w:i/>
                <w:color w:val="984806" w:themeColor="accent6" w:themeShade="80"/>
              </w:rPr>
              <w:t>Completed</w:t>
            </w:r>
          </w:p>
        </w:tc>
        <w:tc>
          <w:tcPr>
            <w:tcW w:w="1440" w:type="dxa"/>
            <w:tcBorders>
              <w:top w:val="single" w:sz="4" w:space="0" w:color="F79646" w:themeColor="accent6"/>
            </w:tcBorders>
            <w:shd w:val="clear" w:color="auto" w:fill="F2DBDB" w:themeFill="accent2" w:themeFillTint="33"/>
            <w:vAlign w:val="center"/>
          </w:tcPr>
          <w:p w:rsidR="000D0F90" w:rsidRPr="007E6907" w:rsidRDefault="000D0F90" w:rsidP="00471292">
            <w:pPr>
              <w:jc w:val="center"/>
              <w:rPr>
                <w:b/>
                <w:i/>
                <w:color w:val="984806" w:themeColor="accent6" w:themeShade="80"/>
              </w:rPr>
            </w:pPr>
            <w:r w:rsidRPr="007E6907">
              <w:rPr>
                <w:b/>
                <w:i/>
                <w:color w:val="984806" w:themeColor="accent6" w:themeShade="80"/>
              </w:rPr>
              <w:t>To Be Completed</w:t>
            </w:r>
          </w:p>
        </w:tc>
        <w:tc>
          <w:tcPr>
            <w:tcW w:w="5850" w:type="dxa"/>
            <w:tcBorders>
              <w:top w:val="single" w:sz="4" w:space="0" w:color="F79646" w:themeColor="accent6"/>
            </w:tcBorders>
            <w:shd w:val="clear" w:color="auto" w:fill="FDE9D9" w:themeFill="accent6" w:themeFillTint="33"/>
            <w:vAlign w:val="center"/>
          </w:tcPr>
          <w:p w:rsidR="000D0F90" w:rsidRPr="007E6907" w:rsidRDefault="000D0F90" w:rsidP="00471292">
            <w:pPr>
              <w:jc w:val="center"/>
              <w:rPr>
                <w:b/>
                <w:i/>
                <w:color w:val="984806" w:themeColor="accent6" w:themeShade="80"/>
              </w:rPr>
            </w:pPr>
            <w:r w:rsidRPr="007E6907">
              <w:rPr>
                <w:b/>
                <w:i/>
                <w:color w:val="984806" w:themeColor="accent6" w:themeShade="80"/>
              </w:rPr>
              <w:t>Employer Action Items</w:t>
            </w:r>
          </w:p>
        </w:tc>
        <w:tc>
          <w:tcPr>
            <w:tcW w:w="5310" w:type="dxa"/>
            <w:tcBorders>
              <w:top w:val="single" w:sz="4" w:space="0" w:color="F79646" w:themeColor="accent6"/>
            </w:tcBorders>
            <w:shd w:val="clear" w:color="auto" w:fill="FDE9D9" w:themeFill="accent6" w:themeFillTint="33"/>
            <w:vAlign w:val="center"/>
          </w:tcPr>
          <w:p w:rsidR="000D0F90" w:rsidRPr="007E6907" w:rsidRDefault="000D0F90" w:rsidP="00471292">
            <w:pPr>
              <w:jc w:val="center"/>
              <w:rPr>
                <w:b/>
                <w:i/>
                <w:color w:val="984806" w:themeColor="accent6" w:themeShade="80"/>
              </w:rPr>
            </w:pPr>
            <w:r w:rsidRPr="007E6907">
              <w:rPr>
                <w:b/>
                <w:i/>
                <w:color w:val="984806" w:themeColor="accent6" w:themeShade="80"/>
              </w:rPr>
              <w:t>Deadlines/Tips</w:t>
            </w:r>
          </w:p>
        </w:tc>
      </w:tr>
      <w:tr w:rsidR="00EA72E5" w:rsidRPr="007E6907" w:rsidTr="003D1B4A">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A72E5" w:rsidRPr="00840DBF" w:rsidRDefault="00EA72E5" w:rsidP="00E627F4">
            <w:pPr>
              <w:spacing w:beforeLines="40" w:before="96" w:afterLines="40" w:after="96"/>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A72E5" w:rsidRPr="00840DBF" w:rsidRDefault="00EA72E5" w:rsidP="00E627F4">
            <w:pPr>
              <w:spacing w:beforeLines="40" w:before="96" w:afterLines="40" w:after="96"/>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72E5" w:rsidRPr="007E6907" w:rsidRDefault="00EA72E5" w:rsidP="00E627F4">
            <w:pPr>
              <w:spacing w:beforeLines="40" w:before="96" w:afterLines="40" w:after="96" w:line="245" w:lineRule="auto"/>
              <w:rPr>
                <w:rFonts w:eastAsia="Times New Roman" w:cs="Times New Roman"/>
                <w:sz w:val="21"/>
                <w:szCs w:val="21"/>
              </w:rPr>
            </w:pPr>
            <w:r w:rsidRPr="00266F4A">
              <w:rPr>
                <w:rFonts w:eastAsia="Times New Roman" w:cs="Times New Roman"/>
                <w:b/>
                <w:bCs/>
                <w:color w:val="F79646" w:themeColor="accent6"/>
                <w:sz w:val="21"/>
                <w:szCs w:val="21"/>
              </w:rPr>
              <w:t>Analyze FSAs.</w:t>
            </w:r>
            <w:r w:rsidRPr="00266F4A">
              <w:rPr>
                <w:rFonts w:eastAsia="Times New Roman" w:cs="Times New Roman"/>
                <w:bCs/>
                <w:color w:val="F79646" w:themeColor="accent6"/>
                <w:sz w:val="21"/>
                <w:szCs w:val="21"/>
              </w:rPr>
              <w:t xml:space="preserve"> </w:t>
            </w:r>
            <w:r>
              <w:rPr>
                <w:rFonts w:eastAsia="Times New Roman" w:cs="Times New Roman"/>
                <w:bCs/>
                <w:sz w:val="21"/>
                <w:szCs w:val="21"/>
              </w:rPr>
              <w:t>Confirm that a</w:t>
            </w:r>
            <w:r w:rsidRPr="005A14A8">
              <w:rPr>
                <w:rFonts w:eastAsia="Times New Roman" w:cs="Times New Roman"/>
                <w:bCs/>
                <w:sz w:val="21"/>
                <w:szCs w:val="21"/>
              </w:rPr>
              <w:t xml:space="preserve"> health FSA</w:t>
            </w:r>
            <w:r w:rsidRPr="005A14A8">
              <w:rPr>
                <w:rFonts w:eastAsia="Times New Roman" w:cs="Times New Roman"/>
                <w:b/>
                <w:bCs/>
                <w:sz w:val="21"/>
                <w:szCs w:val="21"/>
              </w:rPr>
              <w:t xml:space="preserve"> qualifies as excepted benefits </w:t>
            </w:r>
            <w:r w:rsidRPr="005A14A8">
              <w:rPr>
                <w:rFonts w:eastAsia="Times New Roman" w:cs="Times New Roman"/>
                <w:bCs/>
                <w:sz w:val="21"/>
                <w:szCs w:val="21"/>
              </w:rPr>
              <w:t xml:space="preserve">to comply with the </w:t>
            </w:r>
            <w:r w:rsidRPr="007317F2">
              <w:rPr>
                <w:rFonts w:eastAsia="Times New Roman" w:cs="Times New Roman"/>
                <w:bCs/>
                <w:sz w:val="21"/>
                <w:szCs w:val="21"/>
              </w:rPr>
              <w:t>preventive services requirements</w:t>
            </w:r>
            <w:r w:rsidRPr="005A14A8">
              <w:rPr>
                <w:sz w:val="21"/>
                <w:szCs w:val="21"/>
              </w:rPr>
              <w:t>.</w:t>
            </w:r>
            <w:r w:rsidRPr="005A14A8">
              <w:rPr>
                <w:rFonts w:eastAsia="Times New Roman" w:cs="Times New Roman"/>
                <w:b/>
                <w:bCs/>
                <w:sz w:val="21"/>
                <w:szCs w:val="21"/>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72E5" w:rsidRPr="007E6907" w:rsidRDefault="00EA72E5" w:rsidP="00E627F4">
            <w:pPr>
              <w:spacing w:beforeLines="40" w:before="96" w:afterLines="40" w:after="96"/>
              <w:rPr>
                <w:color w:val="984806" w:themeColor="accent6" w:themeShade="80"/>
                <w:sz w:val="19"/>
                <w:szCs w:val="19"/>
              </w:rPr>
            </w:pPr>
            <w:r>
              <w:rPr>
                <w:rFonts w:eastAsia="Times New Roman" w:cs="Times New Roman"/>
                <w:color w:val="984806" w:themeColor="accent6" w:themeShade="80"/>
                <w:sz w:val="19"/>
                <w:szCs w:val="19"/>
              </w:rPr>
              <w:t xml:space="preserve">Generally effective as of 2014. </w:t>
            </w:r>
            <w:r w:rsidRPr="00266F4A">
              <w:rPr>
                <w:rFonts w:eastAsia="Times New Roman" w:cs="Times New Roman"/>
                <w:color w:val="984806" w:themeColor="accent6" w:themeShade="80"/>
                <w:sz w:val="19"/>
                <w:szCs w:val="19"/>
              </w:rPr>
              <w:t>He</w:t>
            </w:r>
            <w:r w:rsidRPr="00266F4A">
              <w:rPr>
                <w:rFonts w:eastAsia="Times New Roman" w:cs="Times New Roman"/>
                <w:color w:val="984806" w:themeColor="accent6" w:themeShade="80"/>
                <w:spacing w:val="-2"/>
                <w:sz w:val="19"/>
                <w:szCs w:val="19"/>
              </w:rPr>
              <w:t>alth FSAs are considered to</w:t>
            </w:r>
            <w:r w:rsidRPr="00266F4A">
              <w:rPr>
                <w:rFonts w:eastAsia="Times New Roman" w:cs="Times New Roman"/>
                <w:color w:val="984806" w:themeColor="accent6" w:themeShade="80"/>
                <w:sz w:val="19"/>
                <w:szCs w:val="19"/>
              </w:rPr>
              <w:t xml:space="preserve"> provide only </w:t>
            </w:r>
            <w:hyperlink r:id="rId23" w:history="1">
              <w:r w:rsidRPr="009B0A29">
                <w:rPr>
                  <w:rFonts w:eastAsia="Times New Roman" w:cs="Times New Roman"/>
                  <w:color w:val="00B0F0"/>
                  <w:sz w:val="19"/>
                  <w:szCs w:val="19"/>
                  <w:u w:val="single"/>
                </w:rPr>
                <w:t>excepted benefits</w:t>
              </w:r>
            </w:hyperlink>
            <w:r w:rsidRPr="005A14A8">
              <w:rPr>
                <w:rFonts w:eastAsia="Times New Roman" w:cs="Times New Roman"/>
                <w:sz w:val="19"/>
                <w:szCs w:val="19"/>
              </w:rPr>
              <w:t xml:space="preserve"> </w:t>
            </w:r>
            <w:r w:rsidRPr="00266F4A">
              <w:rPr>
                <w:rFonts w:eastAsia="Times New Roman" w:cs="Times New Roman"/>
                <w:color w:val="984806" w:themeColor="accent6" w:themeShade="80"/>
                <w:sz w:val="19"/>
                <w:szCs w:val="19"/>
              </w:rPr>
              <w:t>if the employer also makes available group health plan coverage that is not limited to excepted benefits and the health FSA is structured so that the maximum benefit payable to any participant cannot exceed two times the participant's salary reduction election for the health FSA for the year (or, if greater, cannot exceed $500 plus the amount of the participant's salary reduction election).</w:t>
            </w:r>
          </w:p>
        </w:tc>
      </w:tr>
      <w:tr w:rsidR="000D0F90" w:rsidRPr="00840DBF" w:rsidTr="00471292">
        <w:tc>
          <w:tcPr>
            <w:tcW w:w="1260" w:type="dxa"/>
            <w:tcBorders>
              <w:top w:val="single" w:sz="4" w:space="0" w:color="auto"/>
              <w:left w:val="single" w:sz="4" w:space="0" w:color="auto"/>
              <w:bottom w:val="single" w:sz="4" w:space="0" w:color="F79646" w:themeColor="accent6"/>
              <w:right w:val="single" w:sz="4" w:space="0" w:color="auto"/>
            </w:tcBorders>
            <w:shd w:val="clear" w:color="auto" w:fill="EAF1DD" w:themeFill="accent3" w:themeFillTint="33"/>
            <w:vAlign w:val="center"/>
          </w:tcPr>
          <w:p w:rsidR="000D0F90" w:rsidRPr="00840DBF" w:rsidRDefault="000D0F90" w:rsidP="00E627F4">
            <w:pPr>
              <w:spacing w:beforeLines="40" w:before="96" w:afterLines="40" w:after="96"/>
              <w:jc w:val="center"/>
              <w:rPr>
                <w:sz w:val="36"/>
                <w:szCs w:val="36"/>
              </w:rPr>
            </w:pPr>
            <w:r w:rsidRPr="00840DBF">
              <w:rPr>
                <w:sz w:val="40"/>
                <w:szCs w:val="40"/>
              </w:rPr>
              <w:lastRenderedPageBreak/>
              <w:t>□</w:t>
            </w:r>
          </w:p>
        </w:tc>
        <w:tc>
          <w:tcPr>
            <w:tcW w:w="1440" w:type="dxa"/>
            <w:tcBorders>
              <w:top w:val="single" w:sz="4" w:space="0" w:color="auto"/>
              <w:left w:val="single" w:sz="4" w:space="0" w:color="auto"/>
              <w:bottom w:val="single" w:sz="4" w:space="0" w:color="F79646" w:themeColor="accent6"/>
              <w:right w:val="single" w:sz="4" w:space="0" w:color="auto"/>
            </w:tcBorders>
            <w:shd w:val="clear" w:color="auto" w:fill="F2DBDB" w:themeFill="accent2" w:themeFillTint="33"/>
            <w:vAlign w:val="center"/>
          </w:tcPr>
          <w:p w:rsidR="000D0F90" w:rsidRPr="00840DBF" w:rsidRDefault="000D0F90" w:rsidP="00E627F4">
            <w:pPr>
              <w:spacing w:beforeLines="40" w:before="96" w:afterLines="40" w:after="96"/>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F79646" w:themeColor="accent6"/>
              <w:right w:val="single" w:sz="4" w:space="0" w:color="auto"/>
            </w:tcBorders>
            <w:shd w:val="clear" w:color="auto" w:fill="FFFFFF" w:themeFill="background1"/>
            <w:vAlign w:val="center"/>
          </w:tcPr>
          <w:p w:rsidR="000D0F90" w:rsidRPr="00266F4A" w:rsidRDefault="000D0F90" w:rsidP="00E627F4">
            <w:pPr>
              <w:spacing w:beforeLines="40" w:before="96" w:afterLines="40" w:after="96" w:line="245" w:lineRule="auto"/>
              <w:rPr>
                <w:rFonts w:eastAsia="Times New Roman" w:cs="Times New Roman"/>
                <w:b/>
                <w:bCs/>
                <w:color w:val="F79646" w:themeColor="accent6"/>
                <w:spacing w:val="-2"/>
                <w:sz w:val="21"/>
                <w:szCs w:val="21"/>
              </w:rPr>
            </w:pPr>
            <w:r>
              <w:rPr>
                <w:rFonts w:eastAsia="Times New Roman" w:cs="Times New Roman"/>
                <w:b/>
                <w:bCs/>
                <w:color w:val="F79646" w:themeColor="accent6"/>
                <w:sz w:val="21"/>
                <w:szCs w:val="21"/>
              </w:rPr>
              <w:t>FSAs Through Cafeteria Plans.</w:t>
            </w:r>
            <w:r>
              <w:rPr>
                <w:rFonts w:eastAsia="Times New Roman" w:cs="Times New Roman"/>
                <w:bCs/>
                <w:color w:val="F79646" w:themeColor="accent6"/>
                <w:sz w:val="21"/>
                <w:szCs w:val="21"/>
              </w:rPr>
              <w:t xml:space="preserve"> </w:t>
            </w:r>
            <w:r>
              <w:rPr>
                <w:rFonts w:eastAsia="Times New Roman" w:cs="Times New Roman"/>
                <w:bCs/>
                <w:sz w:val="21"/>
                <w:szCs w:val="21"/>
              </w:rPr>
              <w:t xml:space="preserve">Confirm that a health FSA is </w:t>
            </w:r>
            <w:r>
              <w:rPr>
                <w:rFonts w:eastAsia="Times New Roman" w:cs="Times New Roman"/>
                <w:b/>
                <w:bCs/>
                <w:sz w:val="21"/>
                <w:szCs w:val="21"/>
              </w:rPr>
              <w:t>offered through a cafeteria plan</w:t>
            </w:r>
            <w:r>
              <w:rPr>
                <w:rFonts w:eastAsia="Times New Roman" w:cs="Times New Roman"/>
                <w:bCs/>
                <w:sz w:val="21"/>
                <w:szCs w:val="21"/>
              </w:rPr>
              <w:t>.</w:t>
            </w:r>
          </w:p>
        </w:tc>
        <w:tc>
          <w:tcPr>
            <w:tcW w:w="5310" w:type="dxa"/>
            <w:tcBorders>
              <w:top w:val="single" w:sz="4" w:space="0" w:color="auto"/>
              <w:left w:val="single" w:sz="4" w:space="0" w:color="auto"/>
              <w:bottom w:val="single" w:sz="4" w:space="0" w:color="F79646" w:themeColor="accent6"/>
              <w:right w:val="single" w:sz="4" w:space="0" w:color="auto"/>
            </w:tcBorders>
            <w:shd w:val="clear" w:color="auto" w:fill="FFFFFF" w:themeFill="background1"/>
            <w:vAlign w:val="center"/>
          </w:tcPr>
          <w:p w:rsidR="000D0F90" w:rsidRPr="00266F4A" w:rsidRDefault="000D0F90" w:rsidP="00E627F4">
            <w:pPr>
              <w:spacing w:beforeLines="40" w:before="96" w:afterLines="40" w:after="96" w:line="245" w:lineRule="auto"/>
              <w:rPr>
                <w:rFonts w:eastAsia="Times New Roman"/>
                <w:color w:val="984806" w:themeColor="accent6" w:themeShade="80"/>
                <w:spacing w:val="-2"/>
                <w:sz w:val="19"/>
                <w:szCs w:val="19"/>
              </w:rPr>
            </w:pPr>
            <w:r>
              <w:rPr>
                <w:rFonts w:eastAsia="Times New Roman" w:cs="Times New Roman"/>
                <w:color w:val="984806" w:themeColor="accent6" w:themeShade="80"/>
                <w:sz w:val="19"/>
                <w:szCs w:val="19"/>
              </w:rPr>
              <w:t>Generally effective as of September 13, 2013.</w:t>
            </w:r>
          </w:p>
        </w:tc>
      </w:tr>
      <w:tr w:rsidR="000D0F90" w:rsidRPr="00840DBF" w:rsidTr="00471292">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D0F90" w:rsidRPr="00840DBF" w:rsidRDefault="000D0F90" w:rsidP="00E627F4">
            <w:pPr>
              <w:spacing w:beforeLines="40" w:before="96" w:afterLines="40" w:after="96"/>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D0F90" w:rsidRPr="00840DBF" w:rsidRDefault="000D0F90" w:rsidP="00E627F4">
            <w:pPr>
              <w:spacing w:beforeLines="40" w:before="96" w:afterLines="40" w:after="96"/>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F90" w:rsidRPr="00266F4A" w:rsidRDefault="000D0F90" w:rsidP="00E627F4">
            <w:pPr>
              <w:spacing w:beforeLines="40" w:before="96" w:afterLines="40" w:after="96" w:line="245" w:lineRule="auto"/>
              <w:rPr>
                <w:rFonts w:eastAsia="Times New Roman" w:cs="Times New Roman"/>
                <w:b/>
                <w:bCs/>
                <w:color w:val="F79646" w:themeColor="accent6"/>
                <w:spacing w:val="-2"/>
                <w:sz w:val="21"/>
                <w:szCs w:val="21"/>
              </w:rPr>
            </w:pPr>
            <w:r w:rsidRPr="00266F4A">
              <w:rPr>
                <w:rFonts w:eastAsia="Times New Roman" w:cs="Times New Roman"/>
                <w:b/>
                <w:color w:val="F79646" w:themeColor="accent6"/>
                <w:sz w:val="21"/>
                <w:szCs w:val="21"/>
              </w:rPr>
              <w:t>FSA Carryovers.</w:t>
            </w:r>
            <w:r w:rsidRPr="00266F4A">
              <w:rPr>
                <w:rFonts w:eastAsia="Times New Roman" w:cs="Times New Roman"/>
                <w:color w:val="F79646" w:themeColor="accent6"/>
                <w:sz w:val="21"/>
                <w:szCs w:val="21"/>
              </w:rPr>
              <w:t xml:space="preserve"> </w:t>
            </w:r>
            <w:r w:rsidRPr="00D730A7">
              <w:rPr>
                <w:rFonts w:eastAsia="Times New Roman" w:cs="Times New Roman"/>
                <w:sz w:val="21"/>
                <w:szCs w:val="21"/>
              </w:rPr>
              <w:t xml:space="preserve">Determine whether you will allow employees to </w:t>
            </w:r>
            <w:r w:rsidRPr="00D95CC1">
              <w:rPr>
                <w:rFonts w:eastAsia="Times New Roman" w:cs="Times New Roman"/>
                <w:b/>
                <w:sz w:val="21"/>
                <w:szCs w:val="21"/>
              </w:rPr>
              <w:t>carry over up to $500 of unused health FSA amounts</w:t>
            </w:r>
            <w:r w:rsidRPr="00D730A7">
              <w:rPr>
                <w:rFonts w:eastAsia="Times New Roman" w:cs="Times New Roman"/>
                <w:sz w:val="21"/>
                <w:szCs w:val="21"/>
              </w:rPr>
              <w:t xml:space="preserve"> to use in the following plan year under the </w:t>
            </w:r>
            <w:hyperlink r:id="rId24" w:history="1">
              <w:r w:rsidRPr="009B0A29">
                <w:rPr>
                  <w:rFonts w:eastAsia="Times New Roman" w:cs="Times New Roman"/>
                  <w:color w:val="00B0F0"/>
                  <w:sz w:val="21"/>
                  <w:szCs w:val="21"/>
                  <w:u w:val="single"/>
                </w:rPr>
                <w:t>modified "use-or-lose" rule</w:t>
              </w:r>
            </w:hyperlink>
            <w:r w:rsidRPr="00D730A7">
              <w:rPr>
                <w:rFonts w:eastAsia="Times New Roman" w:cs="Times New Roman"/>
                <w:sz w:val="21"/>
                <w:szCs w:val="21"/>
              </w:rPr>
              <w:t xml:space="preserve">, and </w:t>
            </w:r>
            <w:r w:rsidRPr="00D95CC1">
              <w:rPr>
                <w:rFonts w:eastAsia="Times New Roman" w:cs="Times New Roman"/>
                <w:b/>
                <w:sz w:val="21"/>
                <w:szCs w:val="21"/>
              </w:rPr>
              <w:t>adopt appropriate plan amendments</w:t>
            </w:r>
            <w:r w:rsidRPr="00D730A7">
              <w:rPr>
                <w:rFonts w:eastAsia="Times New Roman" w:cs="Times New Roman"/>
                <w:sz w:val="21"/>
                <w:szCs w:val="21"/>
              </w:rPr>
              <w:t>.</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F90" w:rsidRDefault="000D0F90" w:rsidP="00E627F4">
            <w:pPr>
              <w:spacing w:beforeLines="40" w:before="96" w:afterLines="40" w:after="96" w:line="245" w:lineRule="auto"/>
              <w:rPr>
                <w:color w:val="984806" w:themeColor="accent6" w:themeShade="80"/>
                <w:sz w:val="19"/>
                <w:szCs w:val="19"/>
              </w:rPr>
            </w:pPr>
            <w:r>
              <w:rPr>
                <w:color w:val="984806" w:themeColor="accent6" w:themeShade="80"/>
                <w:sz w:val="19"/>
                <w:szCs w:val="19"/>
              </w:rPr>
              <w:t xml:space="preserve">The amendment must be adopted on or before the last day of the plan year from which amounts may be carried over and may be effective retroactively to the first day of that plan year, provided the plan operates in accordance with </w:t>
            </w:r>
            <w:hyperlink r:id="rId25" w:history="1">
              <w:r w:rsidRPr="009B0A29">
                <w:rPr>
                  <w:rStyle w:val="Hyperlink"/>
                  <w:color w:val="00B0F0"/>
                  <w:sz w:val="19"/>
                  <w:szCs w:val="19"/>
                </w:rPr>
                <w:t>agency guidance</w:t>
              </w:r>
            </w:hyperlink>
            <w:r w:rsidRPr="009B0A29">
              <w:rPr>
                <w:color w:val="00B0F0"/>
                <w:sz w:val="19"/>
                <w:szCs w:val="19"/>
              </w:rPr>
              <w:t xml:space="preserve"> </w:t>
            </w:r>
            <w:r>
              <w:rPr>
                <w:color w:val="984806" w:themeColor="accent6" w:themeShade="80"/>
                <w:sz w:val="19"/>
                <w:szCs w:val="19"/>
              </w:rPr>
              <w:t xml:space="preserve">and informs participants of the carryover provision. </w:t>
            </w:r>
          </w:p>
          <w:p w:rsidR="000D0F90" w:rsidRPr="00A0586C" w:rsidRDefault="000D0F90" w:rsidP="00E627F4">
            <w:pPr>
              <w:spacing w:beforeLines="40" w:before="96" w:afterLines="40" w:after="96" w:line="245" w:lineRule="auto"/>
              <w:rPr>
                <w:color w:val="984806" w:themeColor="accent6" w:themeShade="80"/>
                <w:sz w:val="6"/>
                <w:szCs w:val="6"/>
              </w:rPr>
            </w:pPr>
          </w:p>
          <w:p w:rsidR="000D0F90" w:rsidRDefault="000D0F90" w:rsidP="00E627F4">
            <w:pPr>
              <w:spacing w:beforeLines="40" w:before="96" w:afterLines="40" w:after="96" w:line="245" w:lineRule="auto"/>
              <w:rPr>
                <w:rFonts w:eastAsia="Times New Roman" w:cs="Times New Roman"/>
                <w:bCs/>
                <w:color w:val="984806" w:themeColor="accent6" w:themeShade="80"/>
                <w:spacing w:val="-2"/>
                <w:sz w:val="19"/>
                <w:szCs w:val="19"/>
              </w:rPr>
            </w:pPr>
            <w:r w:rsidRPr="00266F4A">
              <w:rPr>
                <w:color w:val="984806" w:themeColor="accent6" w:themeShade="80"/>
                <w:sz w:val="19"/>
                <w:szCs w:val="19"/>
              </w:rPr>
              <w:t xml:space="preserve">A plan incorporating the carryover provision </w:t>
            </w:r>
            <w:r w:rsidRPr="00266F4A">
              <w:rPr>
                <w:b/>
                <w:bCs/>
                <w:color w:val="984806" w:themeColor="accent6" w:themeShade="80"/>
                <w:sz w:val="19"/>
                <w:szCs w:val="19"/>
              </w:rPr>
              <w:t>may not also provide for a grace period</w:t>
            </w:r>
            <w:r w:rsidRPr="00266F4A">
              <w:rPr>
                <w:color w:val="984806" w:themeColor="accent6" w:themeShade="80"/>
                <w:sz w:val="19"/>
                <w:szCs w:val="19"/>
              </w:rPr>
              <w:t xml:space="preserve"> in the plan year to which unused amounts may be carried over.</w:t>
            </w:r>
          </w:p>
        </w:tc>
      </w:tr>
      <w:tr w:rsidR="00EB3228" w:rsidRPr="00C91C56" w:rsidTr="00FF09E1">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B3228" w:rsidRPr="00840DBF" w:rsidRDefault="00EB3228" w:rsidP="00E627F4">
            <w:pPr>
              <w:spacing w:beforeLines="40" w:before="96" w:afterLines="40" w:after="96"/>
              <w:jc w:val="center"/>
              <w:rPr>
                <w:sz w:val="36"/>
                <w:szCs w:val="36"/>
              </w:rPr>
            </w:pPr>
            <w:r w:rsidRPr="00840DBF">
              <w:rPr>
                <w:sz w:val="40"/>
                <w:szCs w:val="40"/>
              </w:rPr>
              <w:t>□</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B3228" w:rsidRPr="00840DBF" w:rsidRDefault="00EB3228" w:rsidP="00E627F4">
            <w:pPr>
              <w:spacing w:beforeLines="40" w:before="96" w:afterLines="40" w:after="96"/>
              <w:jc w:val="center"/>
              <w:rPr>
                <w:sz w:val="40"/>
                <w:szCs w:val="40"/>
              </w:rPr>
            </w:pPr>
            <w:r w:rsidRPr="00840DBF">
              <w:rPr>
                <w:sz w:val="40"/>
                <w:szCs w:val="40"/>
              </w:rPr>
              <w:t>□</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228" w:rsidRPr="00604179" w:rsidRDefault="00EB3228" w:rsidP="00E627F4">
            <w:pPr>
              <w:spacing w:beforeLines="40" w:before="96" w:afterLines="40" w:after="96" w:line="245" w:lineRule="auto"/>
              <w:rPr>
                <w:sz w:val="21"/>
                <w:szCs w:val="21"/>
              </w:rPr>
            </w:pPr>
            <w:r w:rsidRPr="00266F4A">
              <w:rPr>
                <w:b/>
                <w:color w:val="F79646" w:themeColor="accent6"/>
                <w:sz w:val="21"/>
                <w:szCs w:val="21"/>
              </w:rPr>
              <w:t>Analyze HRAs.</w:t>
            </w:r>
            <w:r w:rsidRPr="00266F4A">
              <w:rPr>
                <w:color w:val="F79646" w:themeColor="accent6"/>
                <w:sz w:val="21"/>
                <w:szCs w:val="21"/>
              </w:rPr>
              <w:t xml:space="preserve"> </w:t>
            </w:r>
            <w:r w:rsidRPr="000D4183">
              <w:rPr>
                <w:sz w:val="21"/>
                <w:szCs w:val="21"/>
              </w:rPr>
              <w:t>Confirm that HRA</w:t>
            </w:r>
            <w:r>
              <w:rPr>
                <w:sz w:val="21"/>
                <w:szCs w:val="21"/>
              </w:rPr>
              <w:t>s (</w:t>
            </w:r>
            <w:r w:rsidR="00A61436">
              <w:rPr>
                <w:sz w:val="21"/>
                <w:szCs w:val="21"/>
              </w:rPr>
              <w:t xml:space="preserve">other than qualified small employer HRAs, </w:t>
            </w:r>
            <w:r>
              <w:rPr>
                <w:sz w:val="21"/>
                <w:szCs w:val="21"/>
              </w:rPr>
              <w:t>retiree-only HRAs</w:t>
            </w:r>
            <w:r w:rsidR="00A61436">
              <w:rPr>
                <w:sz w:val="21"/>
                <w:szCs w:val="21"/>
              </w:rPr>
              <w:t>,</w:t>
            </w:r>
            <w:r>
              <w:rPr>
                <w:sz w:val="21"/>
                <w:szCs w:val="21"/>
              </w:rPr>
              <w:t xml:space="preserve"> and HRAs consisting solely of excepted benefits) are </w:t>
            </w:r>
            <w:r w:rsidRPr="00EB3228">
              <w:rPr>
                <w:b/>
                <w:sz w:val="21"/>
                <w:szCs w:val="21"/>
              </w:rPr>
              <w:t>properly "</w:t>
            </w:r>
            <w:hyperlink r:id="rId26" w:history="1">
              <w:r w:rsidRPr="00EB3228">
                <w:rPr>
                  <w:rStyle w:val="Hyperlink"/>
                  <w:b/>
                  <w:color w:val="00B0F0"/>
                  <w:sz w:val="21"/>
                  <w:szCs w:val="21"/>
                </w:rPr>
                <w:t>integrated</w:t>
              </w:r>
            </w:hyperlink>
            <w:r w:rsidRPr="00EB3228">
              <w:rPr>
                <w:b/>
                <w:sz w:val="21"/>
                <w:szCs w:val="21"/>
              </w:rPr>
              <w:t>"</w:t>
            </w:r>
            <w:r>
              <w:rPr>
                <w:sz w:val="21"/>
                <w:szCs w:val="21"/>
              </w:rPr>
              <w:t xml:space="preserve"> with other group health plan coverage and </w:t>
            </w:r>
            <w:r w:rsidRPr="00604179">
              <w:rPr>
                <w:b/>
                <w:sz w:val="21"/>
                <w:szCs w:val="21"/>
              </w:rPr>
              <w:t>are</w:t>
            </w:r>
            <w:r w:rsidRPr="000D4183">
              <w:rPr>
                <w:sz w:val="21"/>
                <w:szCs w:val="21"/>
              </w:rPr>
              <w:t xml:space="preserve"> </w:t>
            </w:r>
            <w:r w:rsidRPr="000D4183">
              <w:rPr>
                <w:b/>
                <w:bCs/>
                <w:sz w:val="21"/>
                <w:szCs w:val="21"/>
              </w:rPr>
              <w:t xml:space="preserve">not being </w:t>
            </w:r>
            <w:r w:rsidRPr="000D4183">
              <w:rPr>
                <w:b/>
                <w:bCs/>
                <w:spacing w:val="2"/>
                <w:sz w:val="21"/>
                <w:szCs w:val="21"/>
              </w:rPr>
              <w:t>used to reimburse</w:t>
            </w:r>
            <w:r w:rsidRPr="000D4183">
              <w:rPr>
                <w:b/>
                <w:bCs/>
                <w:sz w:val="21"/>
                <w:szCs w:val="21"/>
              </w:rPr>
              <w:t xml:space="preserve"> an employee's individual insurance policy premiums</w:t>
            </w:r>
            <w:r w:rsidRPr="000D4183">
              <w:rPr>
                <w:bCs/>
                <w:sz w:val="21"/>
                <w:szCs w:val="21"/>
              </w:rPr>
              <w:t xml:space="preserve">. </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228" w:rsidRPr="00C91C56" w:rsidRDefault="00EB3228" w:rsidP="00E627F4">
            <w:pPr>
              <w:spacing w:beforeLines="40" w:before="96" w:afterLines="40" w:after="96"/>
              <w:rPr>
                <w:bCs/>
                <w:color w:val="984806" w:themeColor="accent6" w:themeShade="80"/>
                <w:sz w:val="19"/>
                <w:szCs w:val="19"/>
              </w:rPr>
            </w:pPr>
            <w:r>
              <w:rPr>
                <w:bCs/>
                <w:color w:val="984806" w:themeColor="accent6" w:themeShade="80"/>
                <w:sz w:val="19"/>
                <w:szCs w:val="19"/>
              </w:rPr>
              <w:t xml:space="preserve">Effective as of 2014. </w:t>
            </w:r>
            <w:r w:rsidR="00D85488">
              <w:rPr>
                <w:color w:val="984806" w:themeColor="accent6" w:themeShade="80"/>
                <w:sz w:val="19"/>
                <w:szCs w:val="19"/>
              </w:rPr>
              <w:t xml:space="preserve">To be "integrated," an HRA must meet specific requirements under either of two methods described in </w:t>
            </w:r>
            <w:hyperlink r:id="rId27" w:history="1">
              <w:r w:rsidR="00D85488">
                <w:rPr>
                  <w:rStyle w:val="Hyperlink"/>
                  <w:color w:val="00B0F0"/>
                  <w:sz w:val="19"/>
                  <w:szCs w:val="19"/>
                </w:rPr>
                <w:t>agency guidance</w:t>
              </w:r>
            </w:hyperlink>
            <w:r w:rsidR="00D85488">
              <w:rPr>
                <w:color w:val="984806" w:themeColor="accent6" w:themeShade="80"/>
                <w:sz w:val="19"/>
                <w:szCs w:val="19"/>
              </w:rPr>
              <w:t xml:space="preserve">, as clarified by </w:t>
            </w:r>
            <w:hyperlink r:id="rId28" w:history="1">
              <w:r w:rsidR="00D85488">
                <w:rPr>
                  <w:rStyle w:val="Hyperlink"/>
                  <w:color w:val="00B0F0"/>
                  <w:sz w:val="19"/>
                  <w:szCs w:val="19"/>
                </w:rPr>
                <w:t>ACA FAQs</w:t>
              </w:r>
            </w:hyperlink>
            <w:r w:rsidR="00D85488">
              <w:rPr>
                <w:color w:val="984806" w:themeColor="accent6" w:themeShade="80"/>
                <w:sz w:val="19"/>
                <w:szCs w:val="19"/>
              </w:rPr>
              <w:t>.</w:t>
            </w:r>
          </w:p>
        </w:tc>
      </w:tr>
    </w:tbl>
    <w:p w:rsidR="000D0F90" w:rsidRPr="00EB3228" w:rsidRDefault="007F28DD" w:rsidP="00801532">
      <w:pPr>
        <w:pStyle w:val="BodyText"/>
        <w:spacing w:before="80" w:after="0" w:line="240" w:lineRule="auto"/>
        <w:jc w:val="both"/>
        <w:rPr>
          <w:sz w:val="18"/>
          <w:szCs w:val="18"/>
        </w:rPr>
      </w:pPr>
      <w:r w:rsidRPr="007F28DD">
        <w:rPr>
          <w:sz w:val="18"/>
          <w:szCs w:val="18"/>
          <w:u w:val="single"/>
        </w:rPr>
        <w:t>Note</w:t>
      </w:r>
      <w:r w:rsidRPr="007F28DD">
        <w:rPr>
          <w:sz w:val="18"/>
          <w:szCs w:val="18"/>
        </w:rPr>
        <w:t>: The information and materials herein are provided for general information purposes only and have been taken from sources believed to be reliable, but there is no guarantee as to its accuracy.</w:t>
      </w:r>
      <w:r>
        <w:rPr>
          <w:sz w:val="18"/>
          <w:szCs w:val="18"/>
        </w:rPr>
        <w:t xml:space="preserve"> </w:t>
      </w:r>
      <w:r w:rsidR="00E627F4">
        <w:rPr>
          <w:sz w:val="18"/>
          <w:szCs w:val="18"/>
        </w:rPr>
        <w:t>© 201</w:t>
      </w:r>
      <w:r w:rsidR="00DE5737">
        <w:rPr>
          <w:sz w:val="18"/>
          <w:szCs w:val="18"/>
        </w:rPr>
        <w:t>8</w:t>
      </w:r>
      <w:r w:rsidRPr="007F28DD">
        <w:rPr>
          <w:sz w:val="18"/>
          <w:szCs w:val="18"/>
        </w:rPr>
        <w:t xml:space="preserve"> HR 360, Inc. </w:t>
      </w:r>
      <w:r w:rsidRPr="007F28DD">
        <w:rPr>
          <w:rFonts w:cs="Times New Roman"/>
          <w:sz w:val="18"/>
          <w:szCs w:val="18"/>
        </w:rPr>
        <w:t>|</w:t>
      </w:r>
      <w:r w:rsidRPr="007F28DD">
        <w:rPr>
          <w:sz w:val="18"/>
          <w:szCs w:val="18"/>
        </w:rPr>
        <w:t xml:space="preserve"> Last Updated: </w:t>
      </w:r>
      <w:r w:rsidR="00EE25DB">
        <w:rPr>
          <w:sz w:val="18"/>
          <w:szCs w:val="18"/>
        </w:rPr>
        <w:t>December 21</w:t>
      </w:r>
      <w:r w:rsidR="00E627F4">
        <w:rPr>
          <w:sz w:val="18"/>
          <w:szCs w:val="18"/>
        </w:rPr>
        <w:t>, 2017</w:t>
      </w:r>
    </w:p>
    <w:sectPr w:rsidR="000D0F90" w:rsidRPr="00EB3228" w:rsidSect="00C25B1B">
      <w:headerReference w:type="defaul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AF" w:rsidRDefault="001E0CAF">
      <w:pPr>
        <w:spacing w:after="0" w:line="240" w:lineRule="auto"/>
      </w:pPr>
      <w:r>
        <w:separator/>
      </w:r>
    </w:p>
  </w:endnote>
  <w:endnote w:type="continuationSeparator" w:id="0">
    <w:p w:rsidR="001E0CAF" w:rsidRDefault="001E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AF" w:rsidRDefault="001E0CAF">
      <w:pPr>
        <w:spacing w:after="0" w:line="240" w:lineRule="auto"/>
      </w:pPr>
      <w:r>
        <w:separator/>
      </w:r>
    </w:p>
  </w:footnote>
  <w:footnote w:type="continuationSeparator" w:id="0">
    <w:p w:rsidR="001E0CAF" w:rsidRDefault="001E0C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952" w:rsidRPr="00B83443" w:rsidRDefault="00923864" w:rsidP="006373A4">
    <w:pPr>
      <w:pStyle w:val="Heading1"/>
      <w:spacing w:before="0" w:line="240" w:lineRule="auto"/>
      <w:jc w:val="center"/>
      <w:rPr>
        <w:color w:val="00B0F0"/>
      </w:rPr>
    </w:pPr>
    <w:r>
      <w:rPr>
        <w:color w:val="00B0F0"/>
      </w:rPr>
      <w:t>201</w:t>
    </w:r>
    <w:r w:rsidR="00EE25DB">
      <w:rPr>
        <w:color w:val="00B0F0"/>
      </w:rPr>
      <w:t>8</w:t>
    </w:r>
    <w:r>
      <w:rPr>
        <w:color w:val="00B0F0"/>
      </w:rPr>
      <w:t xml:space="preserve"> </w:t>
    </w:r>
    <w:r w:rsidR="00840DBF" w:rsidRPr="00B83443">
      <w:rPr>
        <w:color w:val="00B0F0"/>
      </w:rPr>
      <w:t>Health Care Reform To-Do List</w:t>
    </w:r>
  </w:p>
  <w:p w:rsidR="004D4D76" w:rsidRPr="00B83443" w:rsidRDefault="00034A76" w:rsidP="006373A4">
    <w:pPr>
      <w:pStyle w:val="Heading1"/>
      <w:spacing w:before="0" w:line="240" w:lineRule="auto"/>
      <w:jc w:val="center"/>
      <w:rPr>
        <w:i/>
        <w:color w:val="00B0F0"/>
        <w:sz w:val="24"/>
        <w:szCs w:val="24"/>
      </w:rPr>
    </w:pPr>
    <w:r>
      <w:rPr>
        <w:i/>
        <w:color w:val="00B0F0"/>
        <w:sz w:val="24"/>
        <w:szCs w:val="24"/>
      </w:rPr>
      <w:t xml:space="preserve">Small Fully </w:t>
    </w:r>
    <w:r w:rsidR="00A33952" w:rsidRPr="00B83443">
      <w:rPr>
        <w:i/>
        <w:color w:val="00B0F0"/>
        <w:sz w:val="24"/>
        <w:szCs w:val="24"/>
      </w:rPr>
      <w:t>Insured Plans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01E9"/>
    <w:multiLevelType w:val="hybridMultilevel"/>
    <w:tmpl w:val="D46E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F166349"/>
    <w:multiLevelType w:val="hybridMultilevel"/>
    <w:tmpl w:val="DE68E7B4"/>
    <w:lvl w:ilvl="0" w:tplc="726C1DF8">
      <w:start w:val="1"/>
      <w:numFmt w:val="bullet"/>
      <w:lvlText w:val=""/>
      <w:lvlJc w:val="left"/>
      <w:pPr>
        <w:ind w:left="720" w:hanging="360"/>
      </w:pPr>
      <w:rPr>
        <w:rFonts w:ascii="Symbol" w:hAnsi="Symbol" w:hint="default"/>
        <w:color w:val="403152" w:themeColor="accent4"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BF"/>
    <w:rsid w:val="00016449"/>
    <w:rsid w:val="000219D3"/>
    <w:rsid w:val="00030164"/>
    <w:rsid w:val="00034A76"/>
    <w:rsid w:val="0003604E"/>
    <w:rsid w:val="0007784A"/>
    <w:rsid w:val="000A733F"/>
    <w:rsid w:val="000B716A"/>
    <w:rsid w:val="000C7D40"/>
    <w:rsid w:val="000D0F90"/>
    <w:rsid w:val="000D310C"/>
    <w:rsid w:val="000D388D"/>
    <w:rsid w:val="000D715B"/>
    <w:rsid w:val="000F7992"/>
    <w:rsid w:val="0010471E"/>
    <w:rsid w:val="00114CC3"/>
    <w:rsid w:val="00126913"/>
    <w:rsid w:val="0013023A"/>
    <w:rsid w:val="00136AA3"/>
    <w:rsid w:val="00136EC3"/>
    <w:rsid w:val="00145D18"/>
    <w:rsid w:val="00145EB2"/>
    <w:rsid w:val="00167439"/>
    <w:rsid w:val="00171063"/>
    <w:rsid w:val="001917EE"/>
    <w:rsid w:val="001960F3"/>
    <w:rsid w:val="001B0708"/>
    <w:rsid w:val="001D23E7"/>
    <w:rsid w:val="001D50A7"/>
    <w:rsid w:val="001E0CAF"/>
    <w:rsid w:val="00205E86"/>
    <w:rsid w:val="0023361D"/>
    <w:rsid w:val="00234B39"/>
    <w:rsid w:val="002351E0"/>
    <w:rsid w:val="00245137"/>
    <w:rsid w:val="00255278"/>
    <w:rsid w:val="00261B49"/>
    <w:rsid w:val="002748E3"/>
    <w:rsid w:val="002973A1"/>
    <w:rsid w:val="002A29BC"/>
    <w:rsid w:val="002A7C04"/>
    <w:rsid w:val="002C1125"/>
    <w:rsid w:val="002C4D8B"/>
    <w:rsid w:val="002E476C"/>
    <w:rsid w:val="002E7382"/>
    <w:rsid w:val="00305758"/>
    <w:rsid w:val="0031690B"/>
    <w:rsid w:val="00332067"/>
    <w:rsid w:val="00334F9A"/>
    <w:rsid w:val="00336F2E"/>
    <w:rsid w:val="003417BA"/>
    <w:rsid w:val="00350756"/>
    <w:rsid w:val="00352D8F"/>
    <w:rsid w:val="003802D7"/>
    <w:rsid w:val="003829A2"/>
    <w:rsid w:val="00396ED8"/>
    <w:rsid w:val="003B1B05"/>
    <w:rsid w:val="003B34ED"/>
    <w:rsid w:val="003E107B"/>
    <w:rsid w:val="00403829"/>
    <w:rsid w:val="00420ABA"/>
    <w:rsid w:val="00453A98"/>
    <w:rsid w:val="004574AE"/>
    <w:rsid w:val="00462CB9"/>
    <w:rsid w:val="00467871"/>
    <w:rsid w:val="004714A1"/>
    <w:rsid w:val="00490036"/>
    <w:rsid w:val="004927CE"/>
    <w:rsid w:val="0049509D"/>
    <w:rsid w:val="004A00AD"/>
    <w:rsid w:val="004B303D"/>
    <w:rsid w:val="004D23DD"/>
    <w:rsid w:val="004D4D76"/>
    <w:rsid w:val="004F3EEE"/>
    <w:rsid w:val="00501D1F"/>
    <w:rsid w:val="00505FAE"/>
    <w:rsid w:val="005066C8"/>
    <w:rsid w:val="00512A5B"/>
    <w:rsid w:val="005170E5"/>
    <w:rsid w:val="00542B49"/>
    <w:rsid w:val="00543274"/>
    <w:rsid w:val="005516D9"/>
    <w:rsid w:val="005541EC"/>
    <w:rsid w:val="00564A48"/>
    <w:rsid w:val="00565927"/>
    <w:rsid w:val="0057019F"/>
    <w:rsid w:val="005778AE"/>
    <w:rsid w:val="005800C6"/>
    <w:rsid w:val="00584E65"/>
    <w:rsid w:val="005A6B01"/>
    <w:rsid w:val="005B0F1D"/>
    <w:rsid w:val="005C3126"/>
    <w:rsid w:val="005D3771"/>
    <w:rsid w:val="00603C66"/>
    <w:rsid w:val="00604179"/>
    <w:rsid w:val="006143BB"/>
    <w:rsid w:val="00627420"/>
    <w:rsid w:val="006310F3"/>
    <w:rsid w:val="006373A4"/>
    <w:rsid w:val="00661EEC"/>
    <w:rsid w:val="00666DAC"/>
    <w:rsid w:val="00685FB1"/>
    <w:rsid w:val="00692A8C"/>
    <w:rsid w:val="006A12A2"/>
    <w:rsid w:val="006B5051"/>
    <w:rsid w:val="006E5B68"/>
    <w:rsid w:val="007041F7"/>
    <w:rsid w:val="00720D98"/>
    <w:rsid w:val="007230FE"/>
    <w:rsid w:val="00730BB6"/>
    <w:rsid w:val="007317F2"/>
    <w:rsid w:val="00744D40"/>
    <w:rsid w:val="00754C4A"/>
    <w:rsid w:val="0076036C"/>
    <w:rsid w:val="00764479"/>
    <w:rsid w:val="00781512"/>
    <w:rsid w:val="00782FBD"/>
    <w:rsid w:val="007941BA"/>
    <w:rsid w:val="007A7EB3"/>
    <w:rsid w:val="007C32EF"/>
    <w:rsid w:val="007E6907"/>
    <w:rsid w:val="007F28DD"/>
    <w:rsid w:val="007F401C"/>
    <w:rsid w:val="00801532"/>
    <w:rsid w:val="00840DBF"/>
    <w:rsid w:val="00850323"/>
    <w:rsid w:val="0085483E"/>
    <w:rsid w:val="00854DE0"/>
    <w:rsid w:val="00863481"/>
    <w:rsid w:val="0086603F"/>
    <w:rsid w:val="00874027"/>
    <w:rsid w:val="00883E4B"/>
    <w:rsid w:val="00890BA3"/>
    <w:rsid w:val="00892B26"/>
    <w:rsid w:val="0089454F"/>
    <w:rsid w:val="008A6465"/>
    <w:rsid w:val="008B052A"/>
    <w:rsid w:val="008B4C9C"/>
    <w:rsid w:val="008C568E"/>
    <w:rsid w:val="008D4C6B"/>
    <w:rsid w:val="008E41BD"/>
    <w:rsid w:val="008F7416"/>
    <w:rsid w:val="008F7B8A"/>
    <w:rsid w:val="009022BB"/>
    <w:rsid w:val="009027AE"/>
    <w:rsid w:val="00910D5A"/>
    <w:rsid w:val="00923864"/>
    <w:rsid w:val="00924F16"/>
    <w:rsid w:val="009531BF"/>
    <w:rsid w:val="0099470E"/>
    <w:rsid w:val="00997B6D"/>
    <w:rsid w:val="009A0DDA"/>
    <w:rsid w:val="009A221D"/>
    <w:rsid w:val="009A4AF0"/>
    <w:rsid w:val="009B039A"/>
    <w:rsid w:val="009B0A29"/>
    <w:rsid w:val="009B441A"/>
    <w:rsid w:val="009E5B3E"/>
    <w:rsid w:val="009F6902"/>
    <w:rsid w:val="00A0586C"/>
    <w:rsid w:val="00A11C25"/>
    <w:rsid w:val="00A127E2"/>
    <w:rsid w:val="00A33952"/>
    <w:rsid w:val="00A40463"/>
    <w:rsid w:val="00A61436"/>
    <w:rsid w:val="00A6686F"/>
    <w:rsid w:val="00A84B71"/>
    <w:rsid w:val="00A9083D"/>
    <w:rsid w:val="00AA1710"/>
    <w:rsid w:val="00AA4886"/>
    <w:rsid w:val="00AB41DC"/>
    <w:rsid w:val="00AC3501"/>
    <w:rsid w:val="00AF2F86"/>
    <w:rsid w:val="00AF486B"/>
    <w:rsid w:val="00B0214C"/>
    <w:rsid w:val="00B03DCB"/>
    <w:rsid w:val="00B11299"/>
    <w:rsid w:val="00B14116"/>
    <w:rsid w:val="00B177B2"/>
    <w:rsid w:val="00B2598B"/>
    <w:rsid w:val="00B5220E"/>
    <w:rsid w:val="00B66CDA"/>
    <w:rsid w:val="00B70E19"/>
    <w:rsid w:val="00B83443"/>
    <w:rsid w:val="00B90173"/>
    <w:rsid w:val="00BA1D37"/>
    <w:rsid w:val="00BA6D80"/>
    <w:rsid w:val="00BC6E6E"/>
    <w:rsid w:val="00BD16C0"/>
    <w:rsid w:val="00BD3989"/>
    <w:rsid w:val="00BE0447"/>
    <w:rsid w:val="00BE2B39"/>
    <w:rsid w:val="00BE3B3B"/>
    <w:rsid w:val="00C057ED"/>
    <w:rsid w:val="00C13BE6"/>
    <w:rsid w:val="00C14E7C"/>
    <w:rsid w:val="00C25050"/>
    <w:rsid w:val="00C31F5F"/>
    <w:rsid w:val="00C3661C"/>
    <w:rsid w:val="00C41D74"/>
    <w:rsid w:val="00C4409A"/>
    <w:rsid w:val="00C52668"/>
    <w:rsid w:val="00C753A5"/>
    <w:rsid w:val="00C91C56"/>
    <w:rsid w:val="00CA04FB"/>
    <w:rsid w:val="00CA7DAB"/>
    <w:rsid w:val="00CB6B52"/>
    <w:rsid w:val="00CC2E14"/>
    <w:rsid w:val="00CD083C"/>
    <w:rsid w:val="00CD4F92"/>
    <w:rsid w:val="00CD50FF"/>
    <w:rsid w:val="00CE53B2"/>
    <w:rsid w:val="00D00967"/>
    <w:rsid w:val="00D260EA"/>
    <w:rsid w:val="00D40ADE"/>
    <w:rsid w:val="00D73A32"/>
    <w:rsid w:val="00D82DB8"/>
    <w:rsid w:val="00D85488"/>
    <w:rsid w:val="00D92E93"/>
    <w:rsid w:val="00DA5FD2"/>
    <w:rsid w:val="00DB34F4"/>
    <w:rsid w:val="00DB4E1D"/>
    <w:rsid w:val="00DD340C"/>
    <w:rsid w:val="00DD41FE"/>
    <w:rsid w:val="00DE3A5F"/>
    <w:rsid w:val="00DE562C"/>
    <w:rsid w:val="00DE5737"/>
    <w:rsid w:val="00DE5FEF"/>
    <w:rsid w:val="00E019E4"/>
    <w:rsid w:val="00E05D34"/>
    <w:rsid w:val="00E10B75"/>
    <w:rsid w:val="00E140FE"/>
    <w:rsid w:val="00E3206B"/>
    <w:rsid w:val="00E3700F"/>
    <w:rsid w:val="00E40D91"/>
    <w:rsid w:val="00E47411"/>
    <w:rsid w:val="00E627F4"/>
    <w:rsid w:val="00E62884"/>
    <w:rsid w:val="00E838B3"/>
    <w:rsid w:val="00E85458"/>
    <w:rsid w:val="00E96B10"/>
    <w:rsid w:val="00EA431F"/>
    <w:rsid w:val="00EA72E5"/>
    <w:rsid w:val="00EB3228"/>
    <w:rsid w:val="00EB3664"/>
    <w:rsid w:val="00ED1E2B"/>
    <w:rsid w:val="00ED2F29"/>
    <w:rsid w:val="00EE25DB"/>
    <w:rsid w:val="00EE4B78"/>
    <w:rsid w:val="00F0309F"/>
    <w:rsid w:val="00F03242"/>
    <w:rsid w:val="00F07F32"/>
    <w:rsid w:val="00F35CBF"/>
    <w:rsid w:val="00F4416A"/>
    <w:rsid w:val="00F555B7"/>
    <w:rsid w:val="00F56FFE"/>
    <w:rsid w:val="00F642BC"/>
    <w:rsid w:val="00F654C7"/>
    <w:rsid w:val="00F74DCD"/>
    <w:rsid w:val="00F904D9"/>
    <w:rsid w:val="00F92AB6"/>
    <w:rsid w:val="00FB00A6"/>
    <w:rsid w:val="00FD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B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40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DBF"/>
  </w:style>
  <w:style w:type="paragraph" w:styleId="Footer">
    <w:name w:val="footer"/>
    <w:basedOn w:val="Normal"/>
    <w:link w:val="FooterChar"/>
    <w:uiPriority w:val="99"/>
    <w:unhideWhenUsed/>
    <w:rsid w:val="0084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DBF"/>
  </w:style>
  <w:style w:type="character" w:styleId="CommentReference">
    <w:name w:val="annotation reference"/>
    <w:basedOn w:val="DefaultParagraphFont"/>
    <w:uiPriority w:val="99"/>
    <w:semiHidden/>
    <w:unhideWhenUsed/>
    <w:rsid w:val="00840DBF"/>
    <w:rPr>
      <w:sz w:val="16"/>
      <w:szCs w:val="16"/>
    </w:rPr>
  </w:style>
  <w:style w:type="paragraph" w:styleId="CommentText">
    <w:name w:val="annotation text"/>
    <w:basedOn w:val="Normal"/>
    <w:link w:val="CommentTextChar"/>
    <w:uiPriority w:val="99"/>
    <w:semiHidden/>
    <w:unhideWhenUsed/>
    <w:rsid w:val="00840DBF"/>
    <w:pPr>
      <w:spacing w:line="240" w:lineRule="auto"/>
    </w:pPr>
    <w:rPr>
      <w:sz w:val="20"/>
      <w:szCs w:val="20"/>
    </w:rPr>
  </w:style>
  <w:style w:type="character" w:customStyle="1" w:styleId="CommentTextChar">
    <w:name w:val="Comment Text Char"/>
    <w:basedOn w:val="DefaultParagraphFont"/>
    <w:link w:val="CommentText"/>
    <w:uiPriority w:val="99"/>
    <w:semiHidden/>
    <w:rsid w:val="00840DBF"/>
    <w:rPr>
      <w:sz w:val="20"/>
      <w:szCs w:val="20"/>
    </w:rPr>
  </w:style>
  <w:style w:type="paragraph" w:styleId="BalloonText">
    <w:name w:val="Balloon Text"/>
    <w:basedOn w:val="Normal"/>
    <w:link w:val="BalloonTextChar"/>
    <w:uiPriority w:val="99"/>
    <w:semiHidden/>
    <w:unhideWhenUsed/>
    <w:rsid w:val="00840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BF"/>
    <w:rPr>
      <w:rFonts w:ascii="Tahoma" w:hAnsi="Tahoma" w:cs="Tahoma"/>
      <w:sz w:val="16"/>
      <w:szCs w:val="16"/>
    </w:rPr>
  </w:style>
  <w:style w:type="table" w:customStyle="1" w:styleId="TableGrid1">
    <w:name w:val="Table Grid1"/>
    <w:basedOn w:val="TableNormal"/>
    <w:next w:val="TableGrid"/>
    <w:uiPriority w:val="59"/>
    <w:rsid w:val="00DB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B4E1D"/>
    <w:rPr>
      <w:color w:val="0000FF"/>
      <w:u w:val="single"/>
    </w:rPr>
  </w:style>
  <w:style w:type="table" w:customStyle="1" w:styleId="TableGrid2">
    <w:name w:val="Table Grid2"/>
    <w:basedOn w:val="TableNormal"/>
    <w:next w:val="TableGrid"/>
    <w:uiPriority w:val="59"/>
    <w:rsid w:val="00DB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2DB8"/>
    <w:rPr>
      <w:b/>
      <w:bCs/>
    </w:rPr>
  </w:style>
  <w:style w:type="character" w:customStyle="1" w:styleId="CommentSubjectChar">
    <w:name w:val="Comment Subject Char"/>
    <w:basedOn w:val="CommentTextChar"/>
    <w:link w:val="CommentSubject"/>
    <w:uiPriority w:val="99"/>
    <w:semiHidden/>
    <w:rsid w:val="00D82DB8"/>
    <w:rPr>
      <w:b/>
      <w:bCs/>
      <w:sz w:val="20"/>
      <w:szCs w:val="20"/>
    </w:rPr>
  </w:style>
  <w:style w:type="character" w:styleId="Strong">
    <w:name w:val="Strong"/>
    <w:basedOn w:val="DefaultParagraphFont"/>
    <w:uiPriority w:val="22"/>
    <w:qFormat/>
    <w:rsid w:val="006373A4"/>
    <w:rPr>
      <w:b/>
      <w:bCs/>
    </w:rPr>
  </w:style>
  <w:style w:type="paragraph" w:styleId="Revision">
    <w:name w:val="Revision"/>
    <w:hidden/>
    <w:uiPriority w:val="99"/>
    <w:semiHidden/>
    <w:rsid w:val="006373A4"/>
    <w:pPr>
      <w:spacing w:after="0" w:line="240" w:lineRule="auto"/>
    </w:pPr>
  </w:style>
  <w:style w:type="character" w:styleId="FollowedHyperlink">
    <w:name w:val="FollowedHyperlink"/>
    <w:basedOn w:val="DefaultParagraphFont"/>
    <w:uiPriority w:val="99"/>
    <w:semiHidden/>
    <w:unhideWhenUsed/>
    <w:rsid w:val="00B03DCB"/>
    <w:rPr>
      <w:color w:val="800080" w:themeColor="followedHyperlink"/>
      <w:u w:val="single"/>
    </w:rPr>
  </w:style>
  <w:style w:type="paragraph" w:styleId="BodyText">
    <w:name w:val="Body Text"/>
    <w:basedOn w:val="Normal"/>
    <w:link w:val="BodyTextChar"/>
    <w:uiPriority w:val="99"/>
    <w:unhideWhenUsed/>
    <w:qFormat/>
    <w:rsid w:val="007F28DD"/>
    <w:pPr>
      <w:suppressAutoHyphens/>
      <w:spacing w:before="240" w:after="240" w:line="300" w:lineRule="auto"/>
    </w:pPr>
    <w:rPr>
      <w:rFonts w:eastAsiaTheme="minorEastAsia"/>
      <w:color w:val="141313"/>
      <w:lang w:eastAsia="ja-JP"/>
    </w:rPr>
  </w:style>
  <w:style w:type="character" w:customStyle="1" w:styleId="BodyTextChar">
    <w:name w:val="Body Text Char"/>
    <w:basedOn w:val="DefaultParagraphFont"/>
    <w:link w:val="BodyText"/>
    <w:uiPriority w:val="99"/>
    <w:rsid w:val="007F28DD"/>
    <w:rPr>
      <w:rFonts w:eastAsiaTheme="minorEastAsia"/>
      <w:color w:val="141313"/>
      <w:lang w:eastAsia="ja-JP"/>
    </w:rPr>
  </w:style>
  <w:style w:type="character" w:customStyle="1" w:styleId="Mention">
    <w:name w:val="Mention"/>
    <w:basedOn w:val="DefaultParagraphFont"/>
    <w:uiPriority w:val="99"/>
    <w:semiHidden/>
    <w:unhideWhenUsed/>
    <w:rsid w:val="00DD41FE"/>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B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40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DBF"/>
  </w:style>
  <w:style w:type="paragraph" w:styleId="Footer">
    <w:name w:val="footer"/>
    <w:basedOn w:val="Normal"/>
    <w:link w:val="FooterChar"/>
    <w:uiPriority w:val="99"/>
    <w:unhideWhenUsed/>
    <w:rsid w:val="0084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DBF"/>
  </w:style>
  <w:style w:type="character" w:styleId="CommentReference">
    <w:name w:val="annotation reference"/>
    <w:basedOn w:val="DefaultParagraphFont"/>
    <w:uiPriority w:val="99"/>
    <w:semiHidden/>
    <w:unhideWhenUsed/>
    <w:rsid w:val="00840DBF"/>
    <w:rPr>
      <w:sz w:val="16"/>
      <w:szCs w:val="16"/>
    </w:rPr>
  </w:style>
  <w:style w:type="paragraph" w:styleId="CommentText">
    <w:name w:val="annotation text"/>
    <w:basedOn w:val="Normal"/>
    <w:link w:val="CommentTextChar"/>
    <w:uiPriority w:val="99"/>
    <w:semiHidden/>
    <w:unhideWhenUsed/>
    <w:rsid w:val="00840DBF"/>
    <w:pPr>
      <w:spacing w:line="240" w:lineRule="auto"/>
    </w:pPr>
    <w:rPr>
      <w:sz w:val="20"/>
      <w:szCs w:val="20"/>
    </w:rPr>
  </w:style>
  <w:style w:type="character" w:customStyle="1" w:styleId="CommentTextChar">
    <w:name w:val="Comment Text Char"/>
    <w:basedOn w:val="DefaultParagraphFont"/>
    <w:link w:val="CommentText"/>
    <w:uiPriority w:val="99"/>
    <w:semiHidden/>
    <w:rsid w:val="00840DBF"/>
    <w:rPr>
      <w:sz w:val="20"/>
      <w:szCs w:val="20"/>
    </w:rPr>
  </w:style>
  <w:style w:type="paragraph" w:styleId="BalloonText">
    <w:name w:val="Balloon Text"/>
    <w:basedOn w:val="Normal"/>
    <w:link w:val="BalloonTextChar"/>
    <w:uiPriority w:val="99"/>
    <w:semiHidden/>
    <w:unhideWhenUsed/>
    <w:rsid w:val="00840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BF"/>
    <w:rPr>
      <w:rFonts w:ascii="Tahoma" w:hAnsi="Tahoma" w:cs="Tahoma"/>
      <w:sz w:val="16"/>
      <w:szCs w:val="16"/>
    </w:rPr>
  </w:style>
  <w:style w:type="table" w:customStyle="1" w:styleId="TableGrid1">
    <w:name w:val="Table Grid1"/>
    <w:basedOn w:val="TableNormal"/>
    <w:next w:val="TableGrid"/>
    <w:uiPriority w:val="59"/>
    <w:rsid w:val="00DB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B4E1D"/>
    <w:rPr>
      <w:color w:val="0000FF"/>
      <w:u w:val="single"/>
    </w:rPr>
  </w:style>
  <w:style w:type="table" w:customStyle="1" w:styleId="TableGrid2">
    <w:name w:val="Table Grid2"/>
    <w:basedOn w:val="TableNormal"/>
    <w:next w:val="TableGrid"/>
    <w:uiPriority w:val="59"/>
    <w:rsid w:val="00DB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2DB8"/>
    <w:rPr>
      <w:b/>
      <w:bCs/>
    </w:rPr>
  </w:style>
  <w:style w:type="character" w:customStyle="1" w:styleId="CommentSubjectChar">
    <w:name w:val="Comment Subject Char"/>
    <w:basedOn w:val="CommentTextChar"/>
    <w:link w:val="CommentSubject"/>
    <w:uiPriority w:val="99"/>
    <w:semiHidden/>
    <w:rsid w:val="00D82DB8"/>
    <w:rPr>
      <w:b/>
      <w:bCs/>
      <w:sz w:val="20"/>
      <w:szCs w:val="20"/>
    </w:rPr>
  </w:style>
  <w:style w:type="character" w:styleId="Strong">
    <w:name w:val="Strong"/>
    <w:basedOn w:val="DefaultParagraphFont"/>
    <w:uiPriority w:val="22"/>
    <w:qFormat/>
    <w:rsid w:val="006373A4"/>
    <w:rPr>
      <w:b/>
      <w:bCs/>
    </w:rPr>
  </w:style>
  <w:style w:type="paragraph" w:styleId="Revision">
    <w:name w:val="Revision"/>
    <w:hidden/>
    <w:uiPriority w:val="99"/>
    <w:semiHidden/>
    <w:rsid w:val="006373A4"/>
    <w:pPr>
      <w:spacing w:after="0" w:line="240" w:lineRule="auto"/>
    </w:pPr>
  </w:style>
  <w:style w:type="character" w:styleId="FollowedHyperlink">
    <w:name w:val="FollowedHyperlink"/>
    <w:basedOn w:val="DefaultParagraphFont"/>
    <w:uiPriority w:val="99"/>
    <w:semiHidden/>
    <w:unhideWhenUsed/>
    <w:rsid w:val="00B03DCB"/>
    <w:rPr>
      <w:color w:val="800080" w:themeColor="followedHyperlink"/>
      <w:u w:val="single"/>
    </w:rPr>
  </w:style>
  <w:style w:type="paragraph" w:styleId="BodyText">
    <w:name w:val="Body Text"/>
    <w:basedOn w:val="Normal"/>
    <w:link w:val="BodyTextChar"/>
    <w:uiPriority w:val="99"/>
    <w:unhideWhenUsed/>
    <w:qFormat/>
    <w:rsid w:val="007F28DD"/>
    <w:pPr>
      <w:suppressAutoHyphens/>
      <w:spacing w:before="240" w:after="240" w:line="300" w:lineRule="auto"/>
    </w:pPr>
    <w:rPr>
      <w:rFonts w:eastAsiaTheme="minorEastAsia"/>
      <w:color w:val="141313"/>
      <w:lang w:eastAsia="ja-JP"/>
    </w:rPr>
  </w:style>
  <w:style w:type="character" w:customStyle="1" w:styleId="BodyTextChar">
    <w:name w:val="Body Text Char"/>
    <w:basedOn w:val="DefaultParagraphFont"/>
    <w:link w:val="BodyText"/>
    <w:uiPriority w:val="99"/>
    <w:rsid w:val="007F28DD"/>
    <w:rPr>
      <w:rFonts w:eastAsiaTheme="minorEastAsia"/>
      <w:color w:val="141313"/>
      <w:lang w:eastAsia="ja-JP"/>
    </w:rPr>
  </w:style>
  <w:style w:type="character" w:customStyle="1" w:styleId="Mention">
    <w:name w:val="Mention"/>
    <w:basedOn w:val="DefaultParagraphFont"/>
    <w:uiPriority w:val="99"/>
    <w:semiHidden/>
    <w:unhideWhenUsed/>
    <w:rsid w:val="00DD41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814">
      <w:bodyDiv w:val="1"/>
      <w:marLeft w:val="0"/>
      <w:marRight w:val="0"/>
      <w:marTop w:val="0"/>
      <w:marBottom w:val="0"/>
      <w:divBdr>
        <w:top w:val="none" w:sz="0" w:space="0" w:color="auto"/>
        <w:left w:val="none" w:sz="0" w:space="0" w:color="auto"/>
        <w:bottom w:val="none" w:sz="0" w:space="0" w:color="auto"/>
        <w:right w:val="none" w:sz="0" w:space="0" w:color="auto"/>
      </w:divBdr>
    </w:div>
    <w:div w:id="14909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ol.gov/agencies/ebsa/laws-and-regulations/laws/affordable-care-act/for-employers-and-advisers/90-day" TargetMode="External"/><Relationship Id="rId20" Type="http://schemas.openxmlformats.org/officeDocument/2006/relationships/hyperlink" Target="https://www.dol.gov/agencies/ebsa/laws-and-regulations/laws/affordable-care-act/for-employers-and-advisers/medical-loss-ratio" TargetMode="External"/><Relationship Id="rId21" Type="http://schemas.openxmlformats.org/officeDocument/2006/relationships/hyperlink" Target="http://www.irs.gov/pub/irs-drop/n-14-55.pdf" TargetMode="External"/><Relationship Id="rId22" Type="http://schemas.openxmlformats.org/officeDocument/2006/relationships/hyperlink" Target="https://www.healthcare.gov/small-businesses/provide-shop-coverage/" TargetMode="External"/><Relationship Id="rId23" Type="http://schemas.openxmlformats.org/officeDocument/2006/relationships/hyperlink" Target="https://www.dol.gov/agencies/ebsa/employers-and-advisers/guidance/technical-releases/13-03" TargetMode="External"/><Relationship Id="rId24" Type="http://schemas.openxmlformats.org/officeDocument/2006/relationships/hyperlink" Target="http://www.irs.gov/pub/irs-drop/n-13-71.pdf" TargetMode="External"/><Relationship Id="rId25" Type="http://schemas.openxmlformats.org/officeDocument/2006/relationships/hyperlink" Target="http://www.irs.gov/pub/irs-drop/n-13-71.pdf" TargetMode="External"/><Relationship Id="rId26" Type="http://schemas.openxmlformats.org/officeDocument/2006/relationships/hyperlink" Target="https://www.dol.gov/agencies/ebsa/employers-and-advisers/guidance/technical-releases/13-03" TargetMode="External"/><Relationship Id="rId27" Type="http://schemas.openxmlformats.org/officeDocument/2006/relationships/hyperlink" Target="https://www.dol.gov/agencies/ebsa/employers-and-advisers/guidance/technical-releases/13-03" TargetMode="External"/><Relationship Id="rId28" Type="http://schemas.openxmlformats.org/officeDocument/2006/relationships/hyperlink" Target="https://www.dol.gov/sites/default/files/ebsa/about-ebsa/our-activities/resource-center/faqs/aca-part-37.pdf" TargetMode="External"/><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healthcare.gov/glossary/essential-health-benefits" TargetMode="External"/><Relationship Id="rId11" Type="http://schemas.openxmlformats.org/officeDocument/2006/relationships/hyperlink" Target="https://www.healthcare.gov/what-are-my-preventive-care-benefits/" TargetMode="External"/><Relationship Id="rId12" Type="http://schemas.openxmlformats.org/officeDocument/2006/relationships/hyperlink" Target="https://www.healthcare.gov/glossary/essential-health-benefits" TargetMode="External"/><Relationship Id="rId13" Type="http://schemas.openxmlformats.org/officeDocument/2006/relationships/hyperlink" Target="https://www.cms.gov/CCIIO/Resources/Regulations-and-Guidance/Downloads/Extension-Transitional-Policy-CY2018.pdf" TargetMode="External"/><Relationship Id="rId14" Type="http://schemas.openxmlformats.org/officeDocument/2006/relationships/hyperlink" Target="https://www.healthcare.gov/glossary/out-of-pocket-costs/" TargetMode="External"/><Relationship Id="rId15" Type="http://schemas.openxmlformats.org/officeDocument/2006/relationships/hyperlink" Target="https://www.cms.gov/CCIIO/Resources/Regulations-and-Guidance/Downloads/Extension-Transitional-Policy-CY2018.pdf" TargetMode="External"/><Relationship Id="rId16" Type="http://schemas.openxmlformats.org/officeDocument/2006/relationships/hyperlink" Target="https://www.dol.gov/agencies/ebsa/laws-and-regulations/laws/affordable-care-act/for-employers-and-advisers/coverage-options-notice" TargetMode="External"/><Relationship Id="rId17" Type="http://schemas.openxmlformats.org/officeDocument/2006/relationships/hyperlink" Target="https://www.dol.gov/agencies/ebsa/laws-and-regulations/laws/affordable-care-act/for-employers-and-advisers/summary-of-benefits" TargetMode="External"/><Relationship Id="rId18" Type="http://schemas.openxmlformats.org/officeDocument/2006/relationships/hyperlink" Target="http://www.hhs.gov/civil-rights/for-individuals/section-1557/translated-resources/index.html" TargetMode="External"/><Relationship Id="rId19" Type="http://schemas.openxmlformats.org/officeDocument/2006/relationships/hyperlink" Target="http://www.irs.gov/Businesses/Small-Businesses-&amp;-Self-Employed/Questions-and-Answers-for-the-Additional-Medicare-Ta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BD75-8535-4847-9265-5B136CB7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11322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Rubin</dc:creator>
  <cp:lastModifiedBy>Chris Lawson</cp:lastModifiedBy>
  <cp:revision>2</cp:revision>
  <dcterms:created xsi:type="dcterms:W3CDTF">2018-02-13T23:35:00Z</dcterms:created>
  <dcterms:modified xsi:type="dcterms:W3CDTF">2018-02-13T23:35:00Z</dcterms:modified>
</cp:coreProperties>
</file>